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media/image3.svg" ContentType="image/sv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B74616E">
      <w:pPr>
        <w:pStyle w:val="3"/>
        <w:spacing w:before="5"/>
        <w:rPr>
          <w:rFonts w:hint="eastAsia" w:ascii="黑体" w:hAnsi="黑体" w:eastAsia="黑体" w:cs="黑体"/>
          <w:sz w:val="22"/>
        </w:rPr>
      </w:pPr>
      <w:r>
        <w:rPr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4741545</wp:posOffset>
                </wp:positionH>
                <wp:positionV relativeFrom="paragraph">
                  <wp:posOffset>-41910</wp:posOffset>
                </wp:positionV>
                <wp:extent cx="2298065" cy="273050"/>
                <wp:effectExtent l="0" t="0" r="0" b="0"/>
                <wp:wrapNone/>
                <wp:docPr id="10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065" cy="27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6B4086B7">
                            <w:pP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FT_DS-</w:t>
                            </w:r>
                            <w:r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G10 E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-</w:t>
                            </w:r>
                            <w:r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L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-V2.0.2.231219</w:t>
                            </w:r>
                          </w:p>
                        </w:txbxContent>
                      </wps:txbx>
                      <wps:bodyPr vert="horz" wrap="square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7" o:spid="_x0000_s1026" o:spt="202" type="#_x0000_t202" style="position:absolute;left:0pt;margin-left:373.35pt;margin-top:-3.3pt;height:21.5pt;width:180.95pt;z-index:251659264;mso-width-relative:page;mso-height-relative:page;" filled="f" stroked="f" coordsize="21600,21600" o:gfxdata="UEsDBAoAAAAAAIdO4kAAAAAAAAAAAAAAAAAEAAAAZHJzL1BLAwQUAAAACACHTuJAOAH4R9cAAAAK&#10;AQAADwAAAGRycy9kb3ducmV2LnhtbE2PTU/DMAyG70j8h8hI3LakULJR6u4A4gpifEjcssZrKxqn&#10;arK1/HuyE7vZ8qPXz1tuZteLI42h84yQLRUI4trbjhuEj/fnxRpEiIat6T0Twi8F2FSXF6UprJ/4&#10;jY7b2IgUwqEwCG2MQyFlqFtyJiz9QJxuez86E9M6NtKOZkrhrpc3SmnpTMfpQ2sGemyp/tkeHMLn&#10;y/77K1evzZO7GyY/K8nuXiJeX2XqAUSkOf7DcNJP6lAlp50/sA2iR1jlepVQhIXWIE5AptZp2iHc&#10;6hxkVcrzCtUfUEsDBBQAAAAIAIdO4kCmcu2Q2wEAAJgDAAAOAAAAZHJzL2Uyb0RvYy54bWytU82O&#10;0zAQviPxDpbvNGlW3Z+o6QpULRcESAsP4Dp2Y8n2GNtpUh4A3oATF+48V5+DsZPtouWyBy6JPT/f&#10;zPfNeH07Gk0OwgcFtqHLRUmJsBxaZfcN/fzp7tU1JSEy2zINVjT0KAK93bx8sR5cLSroQLfCEwSx&#10;oR5cQ7sYXV0UgXfCsLAAJyw6JXjDIl79vmg9GxDd6KIqy8tiAN86D1yEgNbt5KQzon8OIEipuNgC&#10;742wcUL1QrOIlEKnXKCb3K2UgscPUgYRiW4oMo35i0XwvEvfYrNm9d4z1yk+t8Ce08ITToYpi0XP&#10;UFsWGem9+gfKKO4hgIwLDqaYiGRFkMWyfKLNfcecyFxQ6uDOoof/B8vfHz56olrcBJTEMoMTP/34&#10;fvr5+/TrG7m4SgINLtQYd+8wMo5vYMTgB3tAY+I9Sm/SHxkR9CPW8SyvGCPhaKyqm+vyckUJR191&#10;dVGusv7FY7bzIb4VYEg6NNTj+LKq7PAuROwEQx9CUjELd0rrPEJtydDQm1W1yglnD2Zoi4mJw9Rr&#10;OsVxN87EdtAekRc+CCzYgf9KyYDr0NDwpWdeUMIsR3NDIyW982rfYdxyLvK6jyBV7izBTlhzNRxY&#10;bnherrQRf99z1OOD2vw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OAH4R9cAAAAKAQAADwAAAAAA&#10;AAABACAAAAAiAAAAZHJzL2Rvd25yZXYueG1sUEsBAhQAFAAAAAgAh07iQKZy7ZDbAQAAmAMAAA4A&#10;AAAAAAAAAQAgAAAAJgEAAGRycy9lMm9Eb2MueG1sUEsFBgAAAAAGAAYAWQEAAHM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6B4086B7">
                      <w:pPr>
                        <w:rPr>
                          <w:rFonts w:hint="eastAsia" w:ascii="黑体" w:hAnsi="黑体" w:eastAsia="黑体" w:cs="黑体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FT_DS-</w:t>
                      </w:r>
                      <w:r>
                        <w:rPr>
                          <w:rFonts w:ascii="黑体" w:hAnsi="黑体" w:eastAsia="黑体" w:cs="黑体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G10 E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-</w:t>
                      </w:r>
                      <w:r>
                        <w:rPr>
                          <w:rFonts w:ascii="黑体" w:hAnsi="黑体" w:eastAsia="黑体" w:cs="黑体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L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-V2.0.2.231219</w:t>
                      </w:r>
                    </w:p>
                  </w:txbxContent>
                </v:textbox>
              </v:shape>
            </w:pict>
          </mc:Fallback>
        </mc:AlternateContent>
      </w:r>
    </w:p>
    <w:p w14:paraId="4ACAA1C9">
      <w:pPr>
        <w:pStyle w:val="3"/>
        <w:spacing w:before="12"/>
        <w:ind w:firstLine="160" w:firstLineChars="100"/>
        <w:jc w:val="center"/>
        <w:rPr>
          <w:rFonts w:hint="eastAsia" w:ascii="黑体" w:hAnsi="黑体" w:eastAsia="黑体" w:cs="黑体"/>
          <w:sz w:val="22"/>
          <w:szCs w:val="22"/>
        </w:rPr>
      </w:pPr>
      <w:bookmarkStart w:id="0" w:name="产品图片"/>
      <w:bookmarkEnd w:id="0"/>
      <w:r>
        <w:drawing>
          <wp:inline distT="0" distB="0" distL="0" distR="0">
            <wp:extent cx="3318510" cy="2133600"/>
            <wp:effectExtent l="0" t="0" r="15240" b="0"/>
            <wp:docPr id="1343413170" name="ID_A8677AEC09904BFEB950FEAB2402D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413170" name="ID_A8677AEC09904BFEB950FEAB2402D60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1851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5" w:name="_GoBack"/>
      <w:bookmarkEnd w:id="5"/>
    </w:p>
    <w:p w14:paraId="5AAD7A47">
      <w:pPr>
        <w:pStyle w:val="3"/>
        <w:spacing w:before="12"/>
        <w:rPr>
          <w:rFonts w:hint="eastAsia" w:ascii="黑体" w:hAnsi="黑体" w:eastAsia="黑体" w:cs="黑体"/>
          <w:sz w:val="22"/>
          <w:szCs w:val="22"/>
        </w:rPr>
      </w:pPr>
      <w:r>
        <w:rPr>
          <w:sz w:val="19"/>
          <w:szCs w:val="19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260985</wp:posOffset>
                </wp:positionV>
                <wp:extent cx="2528570" cy="421640"/>
                <wp:effectExtent l="0" t="0" r="0" b="0"/>
                <wp:wrapNone/>
                <wp:docPr id="53911347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8570" cy="421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2E2315">
                            <w:pPr>
                              <w:ind w:firstLine="280" w:firstLineChars="100"/>
                              <w:rPr>
                                <w:rFonts w:hint="eastAsia"/>
                                <w:color w:val="75BD5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75BD51"/>
                                <w:sz w:val="28"/>
                                <w:szCs w:val="28"/>
                                <w:lang w:val="en-US"/>
                              </w:rPr>
                              <w:t>Feature: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-36pt;margin-top:20.55pt;height:33.2pt;width:199.1pt;z-index:251661312;mso-width-relative:page;mso-height-relative:page;" filled="f" stroked="f" coordsize="21600,21600" o:gfxdata="UEsDBAoAAAAAAIdO4kAAAAAAAAAAAAAAAAAEAAAAZHJzL1BLAwQUAAAACACHTuJANPLNtNsAAAAK&#10;AQAADwAAAGRycy9kb3ducmV2LnhtbE2Py07DMBBF90j8gzVI7Fo7hj6UxqlQpAoJwaKlG3ZOPE2i&#10;2uMQuw/4eswKlqM5uvfcYn11lp1xDL0nBdlUAENqvOmpVbB/30yWwELUZLT1hAq+MMC6vL0pdG78&#10;hbZ43sWWpRAKuVbQxTjknIemQ6fD1A9I6Xfwo9MxnWPLzagvKdxZLoWYc6d7Sg2dHrDqsDnuTk7B&#10;S7V509tauuW3rZ5fD0/D5/5jptT9XSZWwCJe4x8Mv/pJHcrkVPsTmcCsgslCpi1RwWOWAUvAg5xL&#10;YHUixWIGvCz4/wnlD1BLAwQUAAAACACHTuJAKYK47UMCAABtBAAADgAAAGRycy9lMm9Eb2MueG1s&#10;rVTNjtMwEL4j8Q6W7zRNf3erpquyVRFSxa5UEGfXcZpItsfYbpPyAPAGnLhw57n6HIydtlstHPbA&#10;xRnPjGfm+2Ym07tGSbIX1lWgM5p2upQIzSGv9Dajnz4u39xQ4jzTOZOgRUYPwtG72etX09pMRA9K&#10;kLmwBINoN6lNRkvvzSRJHC+FYq4DRmg0FmAV83i12yS3rMboSia9bneU1GBzY4EL51C7aI30FNG+&#10;JCAURcXFAvhOCe3bqFZI5hGSKyvj6CxWWxSC+4eicMITmVFE6uOJSVDehDOZTdlka5kpK34qgb2k&#10;hGeYFKs0Jr2EWjDPyM5Wf4VSFbfgoPAdDippgURGEEXafcbNumRGRCxItTMX0t3/C8s/7B8tqfKM&#10;Dvu3adofjCnRTGHfjz++H3/+Pv76RkaBpdq4CTqvDbr75i00ODtnvUNlAN8UVoUvwiJoR44PF45F&#10;4wlHZW/YuxmO0cTRNuilo0FsQvL02ljn3wlQJAgZtdjDSC3br5zHStD17BKSaVhWUsY+Sk3qjI76&#10;w258cLHgC6nxYcDQ1hok32yaE7AN5AfEZaGdD2f4ssLkK+b8I7M4EFgvrox/wKOQgEngJFFSgv36&#10;L33wxz6hlZIaByyj7suOWUGJfK+xg7fpAKETHy+D4biHF3tt2Vxb9E7dA85wistpeBSDv5dnsbCg&#10;PuNmzUNWNDHNMXdG/Vm89+3Y42ZyMZ9HJ5xBw/xKrw0PoVs65zsPRRWZDjS13JzYwymMDThtTBjz&#10;63v0evpLzP4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NPLNtNsAAAAKAQAADwAAAAAAAAABACAA&#10;AAAiAAAAZHJzL2Rvd25yZXYueG1sUEsBAhQAFAAAAAgAh07iQCmCuO1DAgAAbQQAAA4AAAAAAAAA&#10;AQAgAAAAKgEAAGRycy9lMm9Eb2MueG1sUEsFBgAAAAAGAAYAWQEAAN8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82E2315">
                      <w:pPr>
                        <w:ind w:firstLine="280" w:firstLineChars="100"/>
                        <w:rPr>
                          <w:rFonts w:hint="eastAsia"/>
                          <w:color w:val="75BD51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75BD51"/>
                          <w:sz w:val="28"/>
                          <w:szCs w:val="28"/>
                          <w:lang w:val="en-US"/>
                        </w:rPr>
                        <w:t>Feature:</w:t>
                      </w:r>
                    </w:p>
                  </w:txbxContent>
                </v:textbox>
              </v:shape>
            </w:pict>
          </mc:Fallback>
        </mc:AlternateContent>
      </w:r>
    </w:p>
    <w:p w14:paraId="4C38E2F7">
      <w:pPr>
        <w:pStyle w:val="13"/>
        <w:ind w:left="0" w:right="79"/>
        <w:jc w:val="both"/>
        <w:rPr>
          <w:rFonts w:hint="eastAsia"/>
          <w:sz w:val="17"/>
          <w:szCs w:val="17"/>
          <w:lang w:val="en-US"/>
        </w:rPr>
      </w:pPr>
      <w:r>
        <w:rPr>
          <w:sz w:val="19"/>
          <w:szCs w:val="19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-460375</wp:posOffset>
                </wp:positionH>
                <wp:positionV relativeFrom="paragraph">
                  <wp:posOffset>168275</wp:posOffset>
                </wp:positionV>
                <wp:extent cx="228600" cy="191135"/>
                <wp:effectExtent l="0" t="0" r="0" b="0"/>
                <wp:wrapNone/>
                <wp:docPr id="1726846504" name="流程图: 摘录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28890" cy="191087"/>
                        </a:xfrm>
                        <a:prstGeom prst="flowChartExtract">
                          <a:avLst/>
                        </a:prstGeom>
                        <a:solidFill>
                          <a:srgbClr val="75BD5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流程图: 摘录 8" o:spid="_x0000_s1026" o:spt="127" type="#_x0000_t127" style="position:absolute;left:0pt;margin-left:-36.25pt;margin-top:13.25pt;height:15.05pt;width:18pt;rotation:5898240f;z-index:251663360;v-text-anchor:middle;mso-width-relative:page;mso-height-relative:page;" fillcolor="#75BD51" filled="t" stroked="f" coordsize="21600,21600" o:gfxdata="UEsDBAoAAAAAAIdO4kAAAAAAAAAAAAAAAAAEAAAAZHJzL1BLAwQUAAAACACHTuJAQFMOwNUAAAAJ&#10;AQAADwAAAGRycy9kb3ducmV2LnhtbE2PTU/DMAyG70j8h8iTuKAuadE6VJpOAokzoxuc3cZrq+Wj&#10;arJu/HvSE5xsy49ePy53N6PZTJMfnJWQrgUwsq1Tg+0kHA/vyTMwH9Aq1M6ShB/ysKvu70oslLva&#10;T5rr0LEYYn2BEvoQxoJz3/Zk0K/dSDbuTm4yGOI4dVxNeI3hRvNMiJwbHGy80ONIbz215/piJGzy&#10;035/qL9fZ6QmFcOj3n6YLykfVql4ARboFv5gWPSjOlTRqXEXqzzTEpJttomohCyPNQLJ09I0S3oO&#10;vCr5/w+qX1BLAwQUAAAACACHTuJAixDCCIgCAADhBAAADgAAAGRycy9lMm9Eb2MueG1srVTNbhMx&#10;EL4j8Q6W73R3o6RJo26qkFCEVNFKBXF2vN6sJf8xdrIpN86cekBC4gV4AY7wNi2vwdi7/aFw6IE9&#10;WDMe+/tmPs/s4dFOK7IV4KU1JS32ckqE4baSZl3St2+On00o8YGZiilrREkvhKdHs6dPDls3FQPb&#10;WFUJIAhi/LR1JW1CcNMs87wRmvk964TBYG1Bs4AurLMKWIvoWmWDPN/PWguVA8uF97i77IK0R4TH&#10;ANq6llwsLd9oYUKHCkKxgCX5RjpPZynbuhY8nNa1F4GokmKlIa1IgvYqrtnskE3XwFwjeZ8Ce0wK&#10;D2rSTBokvYVassDIBuRfUFpysN7WYY9bnXWFJEWwiiJ/oM15w5xItaDU3t2K7v8fLH+9PQMiK+yE&#10;8WB/Mtwf5UNKDNP48tffP/769unq688pub78cvXjM5lEvVrnp3jt3J1B73k0Y/G7GjQBiyKPhnn8&#10;kiRYJNklxS9uFRe7QDhuDgaTyQG+BcdQcVDkk3FkyDqoCOnAh5fCahKNktbKtouGQXixC8B4SARs&#10;e+JDd+3meLzqrZLVsVQqObBeLRSQLcNGGI+eL0dFz/THMWVIi1nF9DEphu1dY1uhqR1K5M2aEqbW&#10;ODc8QOI2NjIgeZfqkvmm40iwPYUyWFOUrRMqWitbXaDwSSyk8o4fS6zwhPlwxgBbEDdxSMMpLrHo&#10;ktreoqSx8OFf+/E8dgZGKWmxpTHh9xsGghL1ymDPHBTDIcKG5AxH4wE6cD+yuh8xG72wKFaRsktm&#10;PB/UjVmD1e9wlueRFUPMcOTupOmdRehGDf8GXMzn6Rj2vWPhxJw7HsGjcsbON8HWMj3inTq9aNj5&#10;qSX6KY2jdd9Pp+7+TLP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QFMOwNUAAAAJAQAADwAAAAAA&#10;AAABACAAAAAiAAAAZHJzL2Rvd25yZXYueG1sUEsBAhQAFAAAAAgAh07iQIsQwgiIAgAA4QQAAA4A&#10;AAAAAAAAAQAgAAAAJAEAAGRycy9lMm9Eb2MueG1sUEsFBgAAAAAGAAYAWQEAAB4GAAAAAA==&#10;"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</w:p>
    <w:p w14:paraId="3D67EA28">
      <w:pPr>
        <w:pStyle w:val="3"/>
        <w:spacing w:before="79" w:line="276" w:lineRule="auto"/>
        <w:jc w:val="both"/>
        <w:rPr>
          <w:rFonts w:hint="eastAsia" w:ascii="黑体" w:hAnsi="黑体" w:eastAsia="黑体"/>
          <w:sz w:val="19"/>
          <w:szCs w:val="19"/>
        </w:rPr>
      </w:pPr>
      <w:r>
        <w:rPr>
          <w:rFonts w:ascii="黑体" w:hAnsi="黑体" w:eastAsia="黑体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2821940</wp:posOffset>
                </wp:positionV>
                <wp:extent cx="2528570" cy="421005"/>
                <wp:effectExtent l="0" t="0" r="0" b="0"/>
                <wp:wrapNone/>
                <wp:docPr id="1402958938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8570" cy="421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EF67B4">
                            <w:pPr>
                              <w:ind w:firstLine="280" w:firstLineChars="100"/>
                              <w:rPr>
                                <w:rFonts w:hint="eastAsia"/>
                                <w:color w:val="75BD5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75BD51"/>
                                <w:sz w:val="28"/>
                                <w:szCs w:val="28"/>
                                <w:lang w:val="en-US"/>
                              </w:rPr>
                              <w:t>Specification: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-36pt;margin-top:222.2pt;height:33.15pt;width:199.1pt;z-index:251662336;mso-width-relative:page;mso-height-relative:page;" filled="f" stroked="f" coordsize="21600,21600" o:gfxdata="UEsDBAoAAAAAAIdO4kAAAAAAAAAAAAAAAAAEAAAAZHJzL1BLAwQUAAAACACHTuJAribrTtwAAAAL&#10;AQAADwAAAGRycy9kb3ducmV2LnhtbE2PS0/DMBCE70j8B2uRuLV2DH0ojVOhSBUSgkNLL9yc2E2i&#10;2usQuw/49SwnmNtqRrPfFOurd+xsx9gHVJBNBTCLTTA9tgr275vJElhMGo12Aa2CLxthXd7eFDo3&#10;4YJbe96lllEJxlwr6FIacs5j01mv4zQMFsk7hNHrROfYcjPqC5V7x6UQc+51j/Sh04OtOtscdyev&#10;4KXavOltLf3y21XPr4en4XP/MVPq/i4TK2DJXtNfGH7xCR1KYqrDCU1kTsFkIWlLUvBIAkaJBzmX&#10;wGoFs0wsgJcF/7+h/AFQSwMEFAAAAAgAh07iQMOdIWxDAgAAbwQAAA4AAABkcnMvZTJvRG9jLnht&#10;bK1UwW4TMRC9I/EPlu90N9skTaJsqtCqCKmilQLi7Hjt7Eq2x9hOd8sHwB9w4sKd78p3MPYmaVQ4&#10;9MDFO/aM3/i9mdn5ZacVeRDON2BKOjjLKRGGQ9WYTUk/fbx5M6HEB2YqpsCIkj4KTy8Xr1/NWzsT&#10;BdSgKuEIghg/a21J6xDsLMs8r4Vm/gysMOiU4DQLuHWbrHKsRXStsiLPx1kLrrIOuPAeT697J90j&#10;upcAgpQNF9fAt1qY0KM6oVhASr5urKeL9FopBQ93UnoRiCopMg1pxSRor+OaLeZstnHM1g3fP4G9&#10;5AnPOGnWGEx6hLpmgZGta/6C0g134EGGMw4664kkRZDFIH+mzapmViQuKLW3R9H9/4PlHx7uHWkq&#10;7IRhXkxHk+k51t8wjZXf/fi++/l79+sbGUedWutnGL6yeCF0b6HDO4dzj4eRfiedjl8kRtCPKj8e&#10;VRZdIBwPi1ExGV2gi6NvWAzyfBRhsqfb1vnwToAm0SipwyomcdnDrQ996CEkJjNw0yiVKqkMaUs6&#10;Ph/l6cLRg+DKYI7IoX9rtEK37vbE1lA9Ii8HfYd4y28aTH7LfLhnDlsC34tDE+5wkQowCewtSmpw&#10;X/91HuOxUuilpMUWK6n/smVOUKLeG6zhdDAcImxIm+HoosCNO/WsTz1mq68Au3iA42l5MmN8UAdT&#10;OtCfcbaWMSu6mOGYu6ThYF6FvvFxNrlYLlMQdqFl4dasLI/QvZzLbQDZJKWjTL02e/WwD1Ot9jMT&#10;G/10n6Ke/hOLP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K4m607cAAAACwEAAA8AAAAAAAAAAQAg&#10;AAAAIgAAAGRycy9kb3ducmV2LnhtbFBLAQIUABQAAAAIAIdO4kDDnSFsQwIAAG8EAAAOAAAAAAAA&#10;AAEAIAAAACsBAABkcnMvZTJvRG9jLnhtbFBLBQYAAAAABgAGAFkBAADg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BEF67B4">
                      <w:pPr>
                        <w:ind w:firstLine="280" w:firstLineChars="100"/>
                        <w:rPr>
                          <w:rFonts w:hint="eastAsia"/>
                          <w:color w:val="75BD51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75BD51"/>
                          <w:sz w:val="28"/>
                          <w:szCs w:val="28"/>
                          <w:lang w:val="en-US"/>
                        </w:rPr>
                        <w:t>Specification: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19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-209550</wp:posOffset>
                </wp:positionH>
                <wp:positionV relativeFrom="paragraph">
                  <wp:posOffset>283210</wp:posOffset>
                </wp:positionV>
                <wp:extent cx="6858000" cy="2594610"/>
                <wp:effectExtent l="0" t="0" r="0" b="0"/>
                <wp:wrapSquare wrapText="bothSides"/>
                <wp:docPr id="39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2594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819D70">
                            <w:pPr>
                              <w:rPr>
                                <w:rFonts w:hint="eastAsia" w:ascii="微软雅黑" w:hAnsi="微软雅黑" w:eastAsia="微软雅黑"/>
                                <w:sz w:val="18"/>
                                <w:szCs w:val="18"/>
                                <w:lang w:val="en-US"/>
                              </w:rPr>
                            </w:pPr>
                            <w:bookmarkStart w:id="4" w:name="产品特点"/>
                            <w:bookmarkEnd w:id="4"/>
                            <w:r>
                              <w:rPr>
                                <w:rFonts w:hint="eastAsia" w:ascii="微软雅黑" w:hAnsi="微软雅黑" w:eastAsia="微软雅黑"/>
                                <w:sz w:val="18"/>
                                <w:szCs w:val="18"/>
                                <w:lang w:val="en-US"/>
                              </w:rPr>
                              <w:t>1. The receiver uses a 1.8-inch TFT color display screen, and the 4-channel channel number, frequency, power, volume, and audio level are clearly visible</w:t>
                            </w:r>
                          </w:p>
                          <w:p w14:paraId="561D7F93">
                            <w:pPr>
                              <w:rPr>
                                <w:rFonts w:hint="eastAsia" w:ascii="微软雅黑" w:hAnsi="微软雅黑" w:eastAsia="微软雅黑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18"/>
                                <w:szCs w:val="18"/>
                                <w:lang w:val="en-US"/>
                              </w:rPr>
                              <w:t>2. The receiver has built-in howling suppression, which can be turned on or off as needed</w:t>
                            </w:r>
                          </w:p>
                          <w:p w14:paraId="45A34DF2">
                            <w:pPr>
                              <w:rPr>
                                <w:rFonts w:hint="eastAsia" w:ascii="微软雅黑" w:hAnsi="微软雅黑" w:eastAsia="微软雅黑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18"/>
                                <w:szCs w:val="18"/>
                                <w:lang w:val="en-US"/>
                              </w:rPr>
                              <w:t>3. The receiver has 4 built-in EQ modes, and the user mode can freely and flexibly adjust the 13-band EQ gain, which is suitable for use in more occasions</w:t>
                            </w:r>
                          </w:p>
                          <w:p w14:paraId="20740A51">
                            <w:pPr>
                              <w:rPr>
                                <w:rFonts w:hint="eastAsia" w:ascii="微软雅黑" w:hAnsi="微软雅黑" w:eastAsia="微软雅黑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18"/>
                                <w:szCs w:val="18"/>
                                <w:lang w:val="en-US"/>
                              </w:rPr>
                              <w:t>4. The receiver uses diversity reception technology, and the CPU automatically selects the optimal receiving unit to ensure that a stable signal is received to prevent frequency interruption</w:t>
                            </w:r>
                          </w:p>
                          <w:p w14:paraId="440BD2D3">
                            <w:pPr>
                              <w:rPr>
                                <w:rFonts w:hint="eastAsia" w:ascii="微软雅黑" w:hAnsi="微软雅黑" w:eastAsia="微软雅黑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18"/>
                                <w:szCs w:val="18"/>
                                <w:lang w:val="en-US"/>
                              </w:rPr>
                              <w:t>5. Dynamic random ID is used to eliminate cross-frequency, and the receiver only receives the last transmitter to be matched</w:t>
                            </w:r>
                          </w:p>
                          <w:p w14:paraId="75B4B3B4">
                            <w:pPr>
                              <w:rPr>
                                <w:rFonts w:hint="eastAsia" w:ascii="微软雅黑" w:hAnsi="微软雅黑" w:eastAsia="微软雅黑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18"/>
                                <w:szCs w:val="18"/>
                                <w:lang w:val="en-US"/>
                              </w:rPr>
                              <w:t>6. The receiver presets multiple groups of frequencies to avoid interference, which effectively improves the installation efficiency of multiple sets used at the same time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6.5pt;margin-top:22.3pt;height:204.3pt;width:540pt;mso-wrap-distance-bottom:0pt;mso-wrap-distance-left:9pt;mso-wrap-distance-right:9pt;mso-wrap-distance-top:0pt;z-index:251660288;mso-width-relative:page;mso-height-relative:page;" filled="f" stroked="f" coordsize="21600,21600" o:gfxdata="UEsDBAoAAAAAAIdO4kAAAAAAAAAAAAAAAAAEAAAAZHJzL1BLAwQUAAAACACHTuJAkiwBwNwAAAAL&#10;AQAADwAAAGRycy9kb3ducmV2LnhtbE2PzU7DMBCE70i8g7VI3Fq7SVqqNE6FIlVICA4tvfS2id0k&#10;wl6H2P2Bp8c9wXFnRzPfFOurNeysR987kjCbCmCaGqd6aiXsPzaTJTAfkBQaR1rCt/awLu/vCsyV&#10;u9BWn3ehZTGEfI4SuhCGnHPfdNqin7pBU/wd3WgxxHNsuRrxEsOt4YkQC26xp9jQ4aCrTjefu5OV&#10;8Fpt3nFbJ3b5Y6qXt+Pz8LU/zKV8fJiJFbCgr+HPDDf8iA5lZKrdiZRnRsIkTeOWICHLFsBuBpE9&#10;RaWOyjxNgJcF/7+h/AVQSwMEFAAAAAgAh07iQDbec8Q/AgAAaQQAAA4AAABkcnMvZTJvRG9jLnht&#10;bK1UzW7bMAy+D9g7CLqvdtIka4M6RdYgw4BiLdANOyuyHBvQ3ySldvcA2xv0tMvue648xz7JSRp0&#10;O/Swi0yRFMnvI+mLy05Jci+cb4wu6OAkp0RobspGrwv6+dPyzRklPjBdMmm0KOiD8PRy9vrVRWun&#10;YmhqI0vhCIJoP21tQesQ7DTLPK+FYv7EWKFhrIxTLODq1lnpWIvoSmbDPJ9krXGldYYL76Fd9Ea6&#10;i+heEtBUVcPFwvCNEjr0UZ2QLACSrxvr6SxVW1WCh5uq8iIQWVAgDelEEsireGazCzZdO2brhu9K&#10;YC8p4RkmxRqNpIdQCxYY2bjmr1Cq4c54U4UTblTWA0mMAMUgf8bNXc2sSFhAtbcH0v3/C8s/3t86&#10;0pQFPT2nRDOFjm8ff2x//t7++k6gA0Gt9VP43Vl4hu6d6TA2e72HMuLuKqfiF4gI7KD34UCv6ALh&#10;UE7Oxmd5DhOHbTg+H00GqQHZ03PrfHgvjCJRKKhD/xKt7P7aB5QC171LzKbNspEy9VBq0iLF6ThP&#10;Dw4WvJAaDyOIvtgohW7V7ZCtTPkAYM70s+EtXzZIfs18uGUOw4CCsS7hBkclDZKYnURJbdy3f+mj&#10;P3oEKyUthqug/uuGOUGJ/KDRvfPBaISwIV1G47dDXNyxZXVs0Rt1ZTC/Ayym5UmM/kHuxcoZ9QVb&#10;NY9ZYWKaI3dBw168Cv3IYyu5mM+TE+bPsnCt7yyPoXs655tgqiYxHWnqudmxhwlMDdhtSxzx43vy&#10;evpDzP4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kiwBwNwAAAALAQAADwAAAAAAAAABACAAAAAi&#10;AAAAZHJzL2Rvd25yZXYueG1sUEsBAhQAFAAAAAgAh07iQDbec8Q/AgAAaQQAAA4AAAAAAAAAAQAg&#10;AAAAKw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6819D70">
                      <w:pPr>
                        <w:rPr>
                          <w:rFonts w:hint="eastAsia" w:ascii="微软雅黑" w:hAnsi="微软雅黑" w:eastAsia="微软雅黑"/>
                          <w:sz w:val="18"/>
                          <w:szCs w:val="18"/>
                          <w:lang w:val="en-US"/>
                        </w:rPr>
                      </w:pPr>
                      <w:bookmarkStart w:id="4" w:name="产品特点"/>
                      <w:bookmarkEnd w:id="4"/>
                      <w:r>
                        <w:rPr>
                          <w:rFonts w:hint="eastAsia" w:ascii="微软雅黑" w:hAnsi="微软雅黑" w:eastAsia="微软雅黑"/>
                          <w:sz w:val="18"/>
                          <w:szCs w:val="18"/>
                          <w:lang w:val="en-US"/>
                        </w:rPr>
                        <w:t>1. The receiver uses a 1.8-inch TFT color display screen, and the 4-channel channel number, frequency, power, volume, and audio level are clearly visible</w:t>
                      </w:r>
                    </w:p>
                    <w:p w14:paraId="561D7F93">
                      <w:pPr>
                        <w:rPr>
                          <w:rFonts w:hint="eastAsia" w:ascii="微软雅黑" w:hAnsi="微软雅黑" w:eastAsia="微软雅黑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18"/>
                          <w:szCs w:val="18"/>
                          <w:lang w:val="en-US"/>
                        </w:rPr>
                        <w:t>2. The receiver has built-in howling suppression, which can be turned on or off as needed</w:t>
                      </w:r>
                    </w:p>
                    <w:p w14:paraId="45A34DF2">
                      <w:pPr>
                        <w:rPr>
                          <w:rFonts w:hint="eastAsia" w:ascii="微软雅黑" w:hAnsi="微软雅黑" w:eastAsia="微软雅黑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18"/>
                          <w:szCs w:val="18"/>
                          <w:lang w:val="en-US"/>
                        </w:rPr>
                        <w:t>3. The receiver has 4 built-in EQ modes, and the user mode can freely and flexibly adjust the 13-band EQ gain, which is suitable for use in more occasions</w:t>
                      </w:r>
                    </w:p>
                    <w:p w14:paraId="20740A51">
                      <w:pPr>
                        <w:rPr>
                          <w:rFonts w:hint="eastAsia" w:ascii="微软雅黑" w:hAnsi="微软雅黑" w:eastAsia="微软雅黑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18"/>
                          <w:szCs w:val="18"/>
                          <w:lang w:val="en-US"/>
                        </w:rPr>
                        <w:t>4. The receiver uses diversity reception technology, and the CPU automatically selects the optimal receiving unit to ensure that a stable signal is received to prevent frequency interruption</w:t>
                      </w:r>
                    </w:p>
                    <w:p w14:paraId="440BD2D3">
                      <w:pPr>
                        <w:rPr>
                          <w:rFonts w:hint="eastAsia" w:ascii="微软雅黑" w:hAnsi="微软雅黑" w:eastAsia="微软雅黑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18"/>
                          <w:szCs w:val="18"/>
                          <w:lang w:val="en-US"/>
                        </w:rPr>
                        <w:t>5. Dynamic random ID is used to eliminate cross-frequency, and the receiver only receives the last transmitter to be matched</w:t>
                      </w:r>
                    </w:p>
                    <w:p w14:paraId="75B4B3B4">
                      <w:pPr>
                        <w:rPr>
                          <w:rFonts w:hint="eastAsia" w:ascii="微软雅黑" w:hAnsi="微软雅黑" w:eastAsia="微软雅黑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18"/>
                          <w:szCs w:val="18"/>
                          <w:lang w:val="en-US"/>
                        </w:rPr>
                        <w:t>6. The receiver presets multiple groups of frequencies to avoid interference, which effectively improves the installation efficiency of multiple sets used at the same time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68EE4DC">
      <w:pPr>
        <w:pStyle w:val="3"/>
        <w:spacing w:before="79" w:line="276" w:lineRule="auto"/>
        <w:jc w:val="both"/>
        <w:rPr>
          <w:rFonts w:hint="eastAsia" w:ascii="黑体" w:hAnsi="黑体" w:eastAsia="黑体"/>
          <w:sz w:val="19"/>
          <w:szCs w:val="19"/>
        </w:rPr>
      </w:pPr>
      <w:r>
        <w:rPr>
          <w:rFonts w:ascii="黑体" w:hAnsi="黑体" w:eastAsia="黑体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-479425</wp:posOffset>
                </wp:positionH>
                <wp:positionV relativeFrom="paragraph">
                  <wp:posOffset>2721610</wp:posOffset>
                </wp:positionV>
                <wp:extent cx="228600" cy="191135"/>
                <wp:effectExtent l="0" t="317" r="317" b="318"/>
                <wp:wrapNone/>
                <wp:docPr id="933452363" name="流程图: 摘录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28546" cy="191087"/>
                        </a:xfrm>
                        <a:prstGeom prst="flowChartExtract">
                          <a:avLst/>
                        </a:prstGeom>
                        <a:solidFill>
                          <a:srgbClr val="75BD5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流程图: 摘录 8" o:spid="_x0000_s1026" o:spt="127" type="#_x0000_t127" style="position:absolute;left:0pt;margin-left:-37.75pt;margin-top:214.3pt;height:15.05pt;width:18pt;rotation:5898240f;z-index:251664384;v-text-anchor:middle;mso-width-relative:page;mso-height-relative:page;" fillcolor="#75BD51" filled="t" stroked="f" coordsize="21600,21600" o:gfxdata="UEsDBAoAAAAAAIdO4kAAAAAAAAAAAAAAAAAEAAAAZHJzL1BLAwQUAAAACACHTuJA93T2E9kAAAAL&#10;AQAADwAAAGRycy9kb3ducmV2LnhtbE2Py07DMBBF90j8gzVIbFBqp5BH0ziVQGJNSYG1E0+TiNiO&#10;Yjctf8+wosu5c3TnTLm7mJEtOPvBWQnxSgBD2zo92E7Cx+E1yoH5oKxWo7Mo4Qc97Krbm1IV2p3t&#10;Oy516BiVWF8oCX0IU8G5b3s0yq/chJZ2RzcbFWicO65ndaZyM/K1ECk3arB0oVcTvvTYftcnIyFJ&#10;j/v9of56XhQ2sRgexuzNfEp5fxeLLbCAl/APw58+qUNFTo07We3ZKCHKkoRQCU/rPAVGRPS4oaSh&#10;JMkz4FXJr3+ofgFQSwMEFAAAAAgAh07iQAkSltWJAgAA4AQAAA4AAABkcnMvZTJvRG9jLnhtbK1U&#10;zW4TMRC+I/EOlu90s/lp06ibKiQUIVU0UkGcHa83a8l/jJ1syo1zTxyQkHgBXoAjvE3LazD2bn8o&#10;HHpgD6sZz/j7Zr6d2aPjnVZkK8BLawqa7/UoEYbbUpp1Qd++OXk2psQHZkqmrBEFvRCeHk+fPjlq&#10;3ET0bW1VKYAgiPGTxhW0DsFNsszzWmjm96wTBoOVBc0CurDOSmANomuV9Xu9/ayxUDqwXHiPp4s2&#10;SDtEeAygrSrJxcLyjRYmtKggFAvYkq+l83Saqq0qwcNZVXkRiCoodhrSG0nQXsV3Nj1ikzUwV0ve&#10;lcAeU8KDnjSTBklvoRYsMLIB+ReUlhyst1XY41ZnbSNJEewi7z3Q5rxmTqReUGrvbkX3/w+Wv94u&#10;gciyoIeDwXDUH+wPKDFM44e//v7x17fLq68/J+T605erH5/JOMrVOD/BW+duCZ3n0Yy97yrQBCxq&#10;PBr24pMUwR7JLgl+cSu42AXC8bDfH4+G+5RwDOWHeW98EBmyFipCOvDhpbCaRKOglbLNvGYQXuwC&#10;MB4SAdue+tBeu0mPV71VsjyRSiUH1qu5ArJlOAcHo+eLUd4x/ZGmDGmwqlg+FsVwuiucKjS1Q4W8&#10;WVPC1BrXhgdI3MZGBiRvS10wX7ccCbajUAZ7irK1QkVrZcsL1D2JhVTe8ROJHZ4yH5YMcALxEHc0&#10;nOErNl1Q21mU1BY+/Os85uNgYJSSBicaC36/YSAoUa8MjsxhPhwibEjOcHTQRwfuR1b3I2aj5xbF&#10;ylN1yYz5Qd2YFVj9Dld5FlkxxAxH7laazpmHdtPwZ8DFbJbScOwdC6fm3PEIHpUzdrYJtpLpI96p&#10;04mGg59GolvSuFn3/ZR192Oa/gZ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D3dPYT2QAAAAsBAAAP&#10;AAAAAAAAAAEAIAAAACIAAABkcnMvZG93bnJldi54bWxQSwECFAAUAAAACACHTuJACRKW1YkCAADg&#10;BAAADgAAAAAAAAABACAAAAAoAQAAZHJzL2Uyb0RvYy54bWxQSwUGAAAAAAYABgBZAQAAIwYAAAAA&#10;"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</w:p>
    <w:p w14:paraId="42EEAE14">
      <w:pPr>
        <w:pStyle w:val="3"/>
        <w:spacing w:before="79" w:line="276" w:lineRule="auto"/>
        <w:jc w:val="both"/>
        <w:rPr>
          <w:rFonts w:hint="eastAsia" w:ascii="黑体" w:hAnsi="黑体" w:eastAsia="黑体"/>
          <w:sz w:val="19"/>
          <w:szCs w:val="19"/>
        </w:rPr>
      </w:pPr>
    </w:p>
    <w:tbl>
      <w:tblPr>
        <w:tblStyle w:val="8"/>
        <w:tblW w:w="1035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96"/>
        <w:gridCol w:w="6754"/>
      </w:tblGrid>
      <w:tr w14:paraId="482696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596" w:type="dxa"/>
            <w:shd w:val="clear" w:color="auto" w:fill="F1F1F1" w:themeFill="background1" w:themeFillShade="F2"/>
            <w:vAlign w:val="center"/>
          </w:tcPr>
          <w:p w14:paraId="59990D28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bookmarkStart w:id="1" w:name="技术参数"/>
            <w:bookmarkEnd w:id="1"/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Frequency range</w:t>
            </w:r>
          </w:p>
        </w:tc>
        <w:tc>
          <w:tcPr>
            <w:tcW w:w="6754" w:type="dxa"/>
            <w:shd w:val="clear" w:color="auto" w:fill="auto"/>
            <w:vAlign w:val="center"/>
          </w:tcPr>
          <w:p w14:paraId="5F9A93D7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 640-690MHz</w:t>
            </w:r>
          </w:p>
        </w:tc>
      </w:tr>
      <w:tr w14:paraId="45FE51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596" w:type="dxa"/>
            <w:shd w:val="clear" w:color="auto" w:fill="F1F1F1" w:themeFill="background1" w:themeFillShade="F2"/>
            <w:vAlign w:val="center"/>
          </w:tcPr>
          <w:p w14:paraId="1DF5D317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Modulation mode</w:t>
            </w:r>
          </w:p>
        </w:tc>
        <w:tc>
          <w:tcPr>
            <w:tcW w:w="6754" w:type="dxa"/>
            <w:shd w:val="clear" w:color="auto" w:fill="auto"/>
            <w:vAlign w:val="center"/>
          </w:tcPr>
          <w:p w14:paraId="7AAFD153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 broadband FM</w:t>
            </w:r>
          </w:p>
        </w:tc>
      </w:tr>
      <w:tr w14:paraId="506725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596" w:type="dxa"/>
            <w:shd w:val="clear" w:color="auto" w:fill="F1F1F1" w:themeFill="background1" w:themeFillShade="F2"/>
            <w:vAlign w:val="center"/>
          </w:tcPr>
          <w:p w14:paraId="186AAA90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Number of channels</w:t>
            </w:r>
          </w:p>
        </w:tc>
        <w:tc>
          <w:tcPr>
            <w:tcW w:w="6754" w:type="dxa"/>
            <w:shd w:val="clear" w:color="auto" w:fill="auto"/>
            <w:vAlign w:val="center"/>
          </w:tcPr>
          <w:p w14:paraId="4F1E170D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 200 channels</w:t>
            </w:r>
          </w:p>
        </w:tc>
      </w:tr>
      <w:tr w14:paraId="06DE41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596" w:type="dxa"/>
            <w:shd w:val="clear" w:color="auto" w:fill="F1F1F1" w:themeFill="background1" w:themeFillShade="F2"/>
            <w:vAlign w:val="center"/>
          </w:tcPr>
          <w:p w14:paraId="2BECA8B9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Frequency stability</w:t>
            </w:r>
          </w:p>
        </w:tc>
        <w:tc>
          <w:tcPr>
            <w:tcW w:w="6754" w:type="dxa"/>
            <w:shd w:val="clear" w:color="auto" w:fill="auto"/>
            <w:vAlign w:val="center"/>
          </w:tcPr>
          <w:p w14:paraId="31117C67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 ±0.001%</w:t>
            </w:r>
          </w:p>
        </w:tc>
      </w:tr>
      <w:tr w14:paraId="351F13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596" w:type="dxa"/>
            <w:shd w:val="clear" w:color="auto" w:fill="F1F1F1" w:themeFill="background1" w:themeFillShade="F2"/>
            <w:vAlign w:val="center"/>
          </w:tcPr>
          <w:p w14:paraId="13B043AA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Dynamic range</w:t>
            </w:r>
          </w:p>
        </w:tc>
        <w:tc>
          <w:tcPr>
            <w:tcW w:w="6754" w:type="dxa"/>
            <w:shd w:val="clear" w:color="auto" w:fill="auto"/>
            <w:vAlign w:val="center"/>
          </w:tcPr>
          <w:p w14:paraId="6C207B17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 &gt;100dB</w:t>
            </w:r>
          </w:p>
        </w:tc>
      </w:tr>
      <w:tr w14:paraId="5364D9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596" w:type="dxa"/>
            <w:shd w:val="clear" w:color="auto" w:fill="F1F1F1" w:themeFill="background1" w:themeFillShade="F2"/>
            <w:vAlign w:val="center"/>
          </w:tcPr>
          <w:p w14:paraId="7EA9EAB1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Peak frequency deviation</w:t>
            </w:r>
          </w:p>
        </w:tc>
        <w:tc>
          <w:tcPr>
            <w:tcW w:w="6754" w:type="dxa"/>
            <w:shd w:val="clear" w:color="auto" w:fill="auto"/>
            <w:vAlign w:val="center"/>
          </w:tcPr>
          <w:p w14:paraId="579D94DD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 ±45KHz</w:t>
            </w:r>
          </w:p>
        </w:tc>
      </w:tr>
      <w:tr w14:paraId="5C8318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596" w:type="dxa"/>
            <w:shd w:val="clear" w:color="auto" w:fill="F1F1F1" w:themeFill="background1" w:themeFillShade="F2"/>
            <w:vAlign w:val="center"/>
          </w:tcPr>
          <w:p w14:paraId="3B039232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Frequency response</w:t>
            </w:r>
          </w:p>
        </w:tc>
        <w:tc>
          <w:tcPr>
            <w:tcW w:w="6754" w:type="dxa"/>
            <w:shd w:val="clear" w:color="auto" w:fill="auto"/>
            <w:vAlign w:val="center"/>
          </w:tcPr>
          <w:p w14:paraId="130C5E1C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 50Hz-18KHz (±3dB)</w:t>
            </w:r>
          </w:p>
        </w:tc>
      </w:tr>
      <w:tr w14:paraId="5EE85B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596" w:type="dxa"/>
            <w:shd w:val="clear" w:color="auto" w:fill="F1F1F1" w:themeFill="background1" w:themeFillShade="F2"/>
            <w:vAlign w:val="center"/>
          </w:tcPr>
          <w:p w14:paraId="19FF9192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Comprehensive signal-to-noise ratio</w:t>
            </w:r>
          </w:p>
        </w:tc>
        <w:tc>
          <w:tcPr>
            <w:tcW w:w="6754" w:type="dxa"/>
            <w:shd w:val="clear" w:color="auto" w:fill="auto"/>
            <w:vAlign w:val="center"/>
          </w:tcPr>
          <w:p w14:paraId="7C803E70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 &gt;105dB</w:t>
            </w:r>
          </w:p>
        </w:tc>
      </w:tr>
      <w:tr w14:paraId="3EF21A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596" w:type="dxa"/>
            <w:shd w:val="clear" w:color="auto" w:fill="F1F1F1" w:themeFill="background1" w:themeFillShade="F2"/>
            <w:vAlign w:val="center"/>
          </w:tcPr>
          <w:p w14:paraId="49134AE2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Comprehensive distortion</w:t>
            </w:r>
          </w:p>
        </w:tc>
        <w:tc>
          <w:tcPr>
            <w:tcW w:w="6754" w:type="dxa"/>
            <w:shd w:val="clear" w:color="auto" w:fill="auto"/>
            <w:vAlign w:val="center"/>
          </w:tcPr>
          <w:p w14:paraId="042C9F90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 &lt;0.5%</w:t>
            </w:r>
          </w:p>
        </w:tc>
      </w:tr>
      <w:tr w14:paraId="133145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596" w:type="dxa"/>
            <w:shd w:val="clear" w:color="auto" w:fill="F1F1F1" w:themeFill="background1" w:themeFillShade="F2"/>
            <w:vAlign w:val="center"/>
          </w:tcPr>
          <w:p w14:paraId="06FB3FD5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Usage distance</w:t>
            </w:r>
          </w:p>
        </w:tc>
        <w:tc>
          <w:tcPr>
            <w:tcW w:w="6754" w:type="dxa"/>
            <w:shd w:val="clear" w:color="auto" w:fill="auto"/>
            <w:vAlign w:val="center"/>
          </w:tcPr>
          <w:p w14:paraId="6FCC7F01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 100 meters</w:t>
            </w:r>
          </w:p>
        </w:tc>
      </w:tr>
      <w:tr w14:paraId="08BFEC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3" w:hRule="atLeast"/>
        </w:trPr>
        <w:tc>
          <w:tcPr>
            <w:tcW w:w="3596" w:type="dxa"/>
            <w:shd w:val="clear" w:color="auto" w:fill="F1F1F1" w:themeFill="background1" w:themeFillShade="F2"/>
            <w:vAlign w:val="center"/>
          </w:tcPr>
          <w:p w14:paraId="57921AFC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Receiver technical indicators</w:t>
            </w:r>
          </w:p>
        </w:tc>
        <w:tc>
          <w:tcPr>
            <w:tcW w:w="6754" w:type="dxa"/>
            <w:shd w:val="clear" w:color="auto" w:fill="auto"/>
            <w:vAlign w:val="center"/>
          </w:tcPr>
          <w:p w14:paraId="1B222A5D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</w:p>
        </w:tc>
      </w:tr>
      <w:tr w14:paraId="591EE2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3" w:hRule="atLeast"/>
        </w:trPr>
        <w:tc>
          <w:tcPr>
            <w:tcW w:w="3596" w:type="dxa"/>
            <w:shd w:val="clear" w:color="auto" w:fill="F1F1F1" w:themeFill="background1" w:themeFillShade="F2"/>
            <w:vAlign w:val="center"/>
          </w:tcPr>
          <w:p w14:paraId="1F4C93BD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Receiving mode</w:t>
            </w:r>
          </w:p>
        </w:tc>
        <w:tc>
          <w:tcPr>
            <w:tcW w:w="6754" w:type="dxa"/>
            <w:shd w:val="clear" w:color="auto" w:fill="auto"/>
            <w:vAlign w:val="center"/>
          </w:tcPr>
          <w:p w14:paraId="57CC712E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 Diversity reception CPU automatically selects the strongest signal channel</w:t>
            </w:r>
          </w:p>
        </w:tc>
      </w:tr>
      <w:tr w14:paraId="01B10D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596" w:type="dxa"/>
            <w:shd w:val="clear" w:color="auto" w:fill="F1F1F1" w:themeFill="background1" w:themeFillShade="F2"/>
            <w:vAlign w:val="center"/>
          </w:tcPr>
          <w:p w14:paraId="73746884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Frequency matching mode</w:t>
            </w:r>
          </w:p>
        </w:tc>
        <w:tc>
          <w:tcPr>
            <w:tcW w:w="6754" w:type="dxa"/>
            <w:shd w:val="clear" w:color="auto" w:fill="auto"/>
            <w:vAlign w:val="center"/>
          </w:tcPr>
          <w:p w14:paraId="53DA8870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 infrared</w:t>
            </w:r>
          </w:p>
        </w:tc>
      </w:tr>
      <w:tr w14:paraId="4B3A9A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596" w:type="dxa"/>
            <w:shd w:val="clear" w:color="auto" w:fill="F1F1F1" w:themeFill="background1" w:themeFillShade="F2"/>
            <w:vAlign w:val="center"/>
          </w:tcPr>
          <w:p w14:paraId="66FBC6F4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Oscillation mode</w:t>
            </w:r>
          </w:p>
        </w:tc>
        <w:tc>
          <w:tcPr>
            <w:tcW w:w="6754" w:type="dxa"/>
            <w:shd w:val="clear" w:color="auto" w:fill="auto"/>
            <w:vAlign w:val="center"/>
          </w:tcPr>
          <w:p w14:paraId="640C6990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 PLL phase-locked loop</w:t>
            </w:r>
          </w:p>
        </w:tc>
      </w:tr>
      <w:tr w14:paraId="71F7C9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596" w:type="dxa"/>
            <w:shd w:val="clear" w:color="auto" w:fill="F1F1F1" w:themeFill="background1" w:themeFillShade="F2"/>
            <w:vAlign w:val="center"/>
          </w:tcPr>
          <w:p w14:paraId="226853FC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Number of channels</w:t>
            </w:r>
          </w:p>
        </w:tc>
        <w:tc>
          <w:tcPr>
            <w:tcW w:w="6754" w:type="dxa"/>
            <w:shd w:val="clear" w:color="auto" w:fill="auto"/>
            <w:vAlign w:val="center"/>
          </w:tcPr>
          <w:p w14:paraId="176AA990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 200 channels</w:t>
            </w:r>
          </w:p>
        </w:tc>
      </w:tr>
      <w:tr w14:paraId="2F81DC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596" w:type="dxa"/>
            <w:shd w:val="clear" w:color="auto" w:fill="F1F1F1" w:themeFill="background1" w:themeFillShade="F2"/>
            <w:vAlign w:val="center"/>
          </w:tcPr>
          <w:p w14:paraId="26121FDD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Bandwidth</w:t>
            </w:r>
          </w:p>
        </w:tc>
        <w:tc>
          <w:tcPr>
            <w:tcW w:w="6754" w:type="dxa"/>
            <w:shd w:val="clear" w:color="auto" w:fill="auto"/>
            <w:vAlign w:val="center"/>
          </w:tcPr>
          <w:p w14:paraId="205D1F2E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 50MHz</w:t>
            </w:r>
          </w:p>
        </w:tc>
      </w:tr>
      <w:tr w14:paraId="6D75A5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596" w:type="dxa"/>
            <w:shd w:val="clear" w:color="auto" w:fill="F1F1F1" w:themeFill="background1" w:themeFillShade="F2"/>
            <w:vAlign w:val="center"/>
          </w:tcPr>
          <w:p w14:paraId="61552108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Sensitivity</w:t>
            </w:r>
          </w:p>
        </w:tc>
        <w:tc>
          <w:tcPr>
            <w:tcW w:w="6754" w:type="dxa"/>
            <w:shd w:val="clear" w:color="auto" w:fill="auto"/>
            <w:vAlign w:val="center"/>
          </w:tcPr>
          <w:p w14:paraId="19E125D9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 -95dBm</w:t>
            </w:r>
          </w:p>
        </w:tc>
      </w:tr>
      <w:tr w14:paraId="5E386D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596" w:type="dxa"/>
            <w:shd w:val="clear" w:color="auto" w:fill="F1F1F1" w:themeFill="background1" w:themeFillShade="F2"/>
            <w:vAlign w:val="center"/>
          </w:tcPr>
          <w:p w14:paraId="51971859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Audio output</w:t>
            </w:r>
          </w:p>
        </w:tc>
        <w:tc>
          <w:tcPr>
            <w:tcW w:w="6754" w:type="dxa"/>
            <w:shd w:val="clear" w:color="auto" w:fill="auto"/>
            <w:vAlign w:val="center"/>
          </w:tcPr>
          <w:p w14:paraId="2C8DFD3A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Hybrid: 0-600mV, Balanced: 0-600mV</w:t>
            </w:r>
          </w:p>
        </w:tc>
      </w:tr>
      <w:tr w14:paraId="2BB5FB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596" w:type="dxa"/>
            <w:shd w:val="clear" w:color="auto" w:fill="F1F1F1" w:themeFill="background1" w:themeFillShade="F2"/>
            <w:vAlign w:val="center"/>
          </w:tcPr>
          <w:p w14:paraId="78732548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Power supply</w:t>
            </w:r>
          </w:p>
        </w:tc>
        <w:tc>
          <w:tcPr>
            <w:tcW w:w="6754" w:type="dxa"/>
            <w:shd w:val="clear" w:color="auto" w:fill="auto"/>
            <w:vAlign w:val="center"/>
          </w:tcPr>
          <w:p w14:paraId="746A43BF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 DC 12V 1A</w:t>
            </w:r>
          </w:p>
        </w:tc>
      </w:tr>
      <w:tr w14:paraId="5B48C9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596" w:type="dxa"/>
            <w:shd w:val="clear" w:color="auto" w:fill="F1F1F1" w:themeFill="background1" w:themeFillShade="F2"/>
            <w:vAlign w:val="center"/>
          </w:tcPr>
          <w:p w14:paraId="6683323C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Carrier frequency band</w:t>
            </w:r>
          </w:p>
        </w:tc>
        <w:tc>
          <w:tcPr>
            <w:tcW w:w="6754" w:type="dxa"/>
            <w:shd w:val="clear" w:color="auto" w:fill="auto"/>
            <w:vAlign w:val="center"/>
          </w:tcPr>
          <w:p w14:paraId="522B1EC8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 UHF640~690MHz</w:t>
            </w:r>
          </w:p>
        </w:tc>
      </w:tr>
      <w:tr w14:paraId="71A2EF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596" w:type="dxa"/>
            <w:shd w:val="clear" w:color="auto" w:fill="F1F1F1" w:themeFill="background1" w:themeFillShade="F2"/>
            <w:vAlign w:val="center"/>
          </w:tcPr>
          <w:p w14:paraId="384C834B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Oscillation mode</w:t>
            </w:r>
          </w:p>
        </w:tc>
        <w:tc>
          <w:tcPr>
            <w:tcW w:w="6754" w:type="dxa"/>
            <w:shd w:val="clear" w:color="auto" w:fill="auto"/>
            <w:vAlign w:val="center"/>
          </w:tcPr>
          <w:p w14:paraId="6A559E33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 PLL phase-locked frequency synthesis</w:t>
            </w:r>
          </w:p>
        </w:tc>
      </w:tr>
      <w:tr w14:paraId="39A08B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596" w:type="dxa"/>
            <w:shd w:val="clear" w:color="auto" w:fill="F1F1F1" w:themeFill="background1" w:themeFillShade="F2"/>
            <w:vAlign w:val="center"/>
          </w:tcPr>
          <w:p w14:paraId="63EDC606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Harmonic radiation</w:t>
            </w:r>
          </w:p>
        </w:tc>
        <w:tc>
          <w:tcPr>
            <w:tcW w:w="6754" w:type="dxa"/>
            <w:shd w:val="clear" w:color="auto" w:fill="auto"/>
            <w:vAlign w:val="center"/>
          </w:tcPr>
          <w:p w14:paraId="33D2D0C9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 &lt;-65dBm</w:t>
            </w:r>
          </w:p>
        </w:tc>
      </w:tr>
      <w:tr w14:paraId="6808C3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596" w:type="dxa"/>
            <w:shd w:val="clear" w:color="auto" w:fill="F1F1F1" w:themeFill="background1" w:themeFillShade="F2"/>
            <w:vAlign w:val="center"/>
          </w:tcPr>
          <w:p w14:paraId="62FF5E8D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Maximum deviation</w:t>
            </w:r>
          </w:p>
        </w:tc>
        <w:tc>
          <w:tcPr>
            <w:tcW w:w="6754" w:type="dxa"/>
            <w:shd w:val="clear" w:color="auto" w:fill="auto"/>
            <w:vAlign w:val="center"/>
          </w:tcPr>
          <w:p w14:paraId="79DB2AE0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 ±45KHz</w:t>
            </w:r>
          </w:p>
        </w:tc>
      </w:tr>
      <w:tr w14:paraId="11097C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596" w:type="dxa"/>
            <w:shd w:val="clear" w:color="auto" w:fill="F1F1F1" w:themeFill="background1" w:themeFillShade="F2"/>
            <w:vAlign w:val="center"/>
          </w:tcPr>
          <w:p w14:paraId="55EE6728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Frequency response</w:t>
            </w:r>
          </w:p>
        </w:tc>
        <w:tc>
          <w:tcPr>
            <w:tcW w:w="6754" w:type="dxa"/>
            <w:shd w:val="clear" w:color="auto" w:fill="auto"/>
            <w:vAlign w:val="center"/>
          </w:tcPr>
          <w:p w14:paraId="35F848B1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 45Hz~18KHZ ±3dB</w:t>
            </w:r>
          </w:p>
        </w:tc>
      </w:tr>
      <w:tr w14:paraId="76B0A0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596" w:type="dxa"/>
            <w:shd w:val="clear" w:color="auto" w:fill="F1F1F1" w:themeFill="background1" w:themeFillShade="F2"/>
            <w:vAlign w:val="center"/>
          </w:tcPr>
          <w:p w14:paraId="751670B4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Bandwidth</w:t>
            </w:r>
          </w:p>
        </w:tc>
        <w:tc>
          <w:tcPr>
            <w:tcW w:w="6754" w:type="dxa"/>
            <w:shd w:val="clear" w:color="auto" w:fill="auto"/>
            <w:vAlign w:val="center"/>
          </w:tcPr>
          <w:p w14:paraId="78EEA804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 50MHz</w:t>
            </w:r>
          </w:p>
        </w:tc>
      </w:tr>
      <w:tr w14:paraId="0935BD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596" w:type="dxa"/>
            <w:shd w:val="clear" w:color="auto" w:fill="F1F1F1" w:themeFill="background1" w:themeFillShade="F2"/>
            <w:vAlign w:val="center"/>
          </w:tcPr>
          <w:p w14:paraId="19B01E8C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Input socket</w:t>
            </w:r>
          </w:p>
        </w:tc>
        <w:tc>
          <w:tcPr>
            <w:tcW w:w="6754" w:type="dxa"/>
            <w:shd w:val="clear" w:color="auto" w:fill="auto"/>
            <w:vAlign w:val="center"/>
          </w:tcPr>
          <w:p w14:paraId="149091CA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 micro three-pin XLR</w:t>
            </w:r>
          </w:p>
        </w:tc>
      </w:tr>
      <w:tr w14:paraId="646720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596" w:type="dxa"/>
            <w:shd w:val="clear" w:color="auto" w:fill="F1F1F1" w:themeFill="background1" w:themeFillShade="F2"/>
            <w:vAlign w:val="center"/>
          </w:tcPr>
          <w:p w14:paraId="037E9BE8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Sound head</w:t>
            </w:r>
          </w:p>
        </w:tc>
        <w:tc>
          <w:tcPr>
            <w:tcW w:w="6754" w:type="dxa"/>
            <w:shd w:val="clear" w:color="auto" w:fill="auto"/>
            <w:vAlign w:val="center"/>
          </w:tcPr>
          <w:p w14:paraId="2B2FD0B9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 capacitor type</w:t>
            </w:r>
          </w:p>
        </w:tc>
      </w:tr>
      <w:tr w14:paraId="041D47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3" w:hRule="atLeast"/>
        </w:trPr>
        <w:tc>
          <w:tcPr>
            <w:tcW w:w="3596" w:type="dxa"/>
            <w:shd w:val="clear" w:color="auto" w:fill="F1F1F1" w:themeFill="background1" w:themeFillShade="F2"/>
            <w:vAlign w:val="center"/>
          </w:tcPr>
          <w:p w14:paraId="14C64170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RF power output</w:t>
            </w:r>
          </w:p>
        </w:tc>
        <w:tc>
          <w:tcPr>
            <w:tcW w:w="6754" w:type="dxa"/>
            <w:shd w:val="clear" w:color="auto" w:fill="auto"/>
            <w:vAlign w:val="center"/>
          </w:tcPr>
          <w:p w14:paraId="14C92857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 15mW</w:t>
            </w:r>
          </w:p>
        </w:tc>
      </w:tr>
      <w:tr w14:paraId="4014C5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596" w:type="dxa"/>
            <w:shd w:val="clear" w:color="auto" w:fill="F1F1F1" w:themeFill="background1" w:themeFillShade="F2"/>
            <w:vAlign w:val="center"/>
          </w:tcPr>
          <w:p w14:paraId="56126127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Battery</w:t>
            </w:r>
          </w:p>
        </w:tc>
        <w:tc>
          <w:tcPr>
            <w:tcW w:w="6754" w:type="dxa"/>
            <w:shd w:val="clear" w:color="auto" w:fill="auto"/>
            <w:vAlign w:val="center"/>
          </w:tcPr>
          <w:p w14:paraId="1A26082F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 AA*2</w:t>
            </w:r>
          </w:p>
        </w:tc>
      </w:tr>
      <w:tr w14:paraId="5B41F9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596" w:type="dxa"/>
            <w:shd w:val="clear" w:color="auto" w:fill="F1F1F1" w:themeFill="background1" w:themeFillShade="F2"/>
            <w:vAlign w:val="center"/>
          </w:tcPr>
          <w:p w14:paraId="32E72CF8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Current consumption</w:t>
            </w:r>
          </w:p>
        </w:tc>
        <w:tc>
          <w:tcPr>
            <w:tcW w:w="6754" w:type="dxa"/>
            <w:shd w:val="clear" w:color="auto" w:fill="auto"/>
            <w:vAlign w:val="center"/>
          </w:tcPr>
          <w:p w14:paraId="69B4E1A9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 &lt;120ma</w:t>
            </w:r>
          </w:p>
        </w:tc>
      </w:tr>
      <w:tr w14:paraId="78AFAA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596" w:type="dxa"/>
            <w:shd w:val="clear" w:color="auto" w:fill="F1F1F1" w:themeFill="background1" w:themeFillShade="F2"/>
            <w:vAlign w:val="center"/>
          </w:tcPr>
          <w:p w14:paraId="194DBB6A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Continuous working time</w:t>
            </w:r>
          </w:p>
        </w:tc>
        <w:tc>
          <w:tcPr>
            <w:tcW w:w="6754" w:type="dxa"/>
            <w:shd w:val="clear" w:color="auto" w:fill="auto"/>
            <w:vAlign w:val="center"/>
          </w:tcPr>
          <w:p w14:paraId="561B844F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 8 hours</w:t>
            </w:r>
          </w:p>
        </w:tc>
      </w:tr>
    </w:tbl>
    <w:p w14:paraId="0B7879DC">
      <w:pPr>
        <w:pStyle w:val="3"/>
        <w:spacing w:before="79" w:line="276" w:lineRule="auto"/>
        <w:jc w:val="both"/>
        <w:rPr>
          <w:rFonts w:hint="eastAsia" w:ascii="黑体" w:hAnsi="黑体" w:eastAsia="黑体"/>
          <w:sz w:val="19"/>
          <w:szCs w:val="19"/>
        </w:rPr>
      </w:pPr>
    </w:p>
    <w:sectPr>
      <w:headerReference r:id="rId3" w:type="default"/>
      <w:footerReference r:id="rId4" w:type="default"/>
      <w:type w:val="continuous"/>
      <w:pgSz w:w="11910" w:h="16840"/>
      <w:pgMar w:top="720" w:right="720" w:bottom="720" w:left="720" w:header="283" w:footer="397" w:gutter="0"/>
      <w:cols w:space="725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0C53E7">
    <w:pPr>
      <w:pStyle w:val="5"/>
      <w:rPr>
        <w:rFonts w:hint="eastAsia"/>
      </w:rPr>
    </w:pPr>
    <w:r>
      <w:rPr>
        <w:sz w:val="24"/>
        <w:lang w:val="en-US" w:bidi="ar-SA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481965</wp:posOffset>
          </wp:positionH>
          <wp:positionV relativeFrom="margin">
            <wp:posOffset>9167495</wp:posOffset>
          </wp:positionV>
          <wp:extent cx="161925" cy="161925"/>
          <wp:effectExtent l="0" t="0" r="3175" b="3175"/>
          <wp:wrapNone/>
          <wp:docPr id="42" name="图片 42" descr="邮箱"/>
          <wp:cNvGraphicFramePr>
            <a:graphicFrameLocks xmlns:a="http://schemas.openxmlformats.org/drawingml/2006/main" noChangeAspect="1"/>
            <a:extLst xmlns:a="http://schemas.openxmlformats.org/drawingml/2006/main">
              <a:ext uri="{7FBC4E63-A832-4D11-8238-D91031DB1400}">
                <s:tag xmlns="http://www.wps.cn/officeDocument/2013/wpsCustomData" xmlns:s="http://www.wps.cn/officeDocument/2013/wpsCustomData">
                  <s:item s:name="KSO_DOCER_RESOURCE_TRACE_INFO" s:val="{&quot;id&quot;:&quot;4394496&quot;,&quot;origin&quot;:0,&quot;type&quot;:&quot;icons&quot;,&quot;user&quot;:&quot;442311108&quot;}"/>
                </s:tag>
              </a:ext>
            </a:extLst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图片 42" descr="邮箱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925" cy="161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4563110</wp:posOffset>
              </wp:positionH>
              <wp:positionV relativeFrom="paragraph">
                <wp:posOffset>53340</wp:posOffset>
              </wp:positionV>
              <wp:extent cx="1285240" cy="313055"/>
              <wp:effectExtent l="4445" t="5080" r="5715" b="5715"/>
              <wp:wrapNone/>
              <wp:docPr id="9" name="文本框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5240" cy="3130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FFFFFF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txbx>
                      <w:txbxContent>
                        <w:p w14:paraId="0932842F">
                          <w:pPr>
                            <w:rPr>
                              <w:rFonts w:hint="eastAsia" w:ascii="微软雅黑" w:hAnsi="微软雅黑" w:eastAsia="微软雅黑" w:cs="微软雅黑"/>
                              <w:color w:val="231916"/>
                              <w:sz w:val="16"/>
                              <w:lang w:val="en-US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231916"/>
                              <w:sz w:val="16"/>
                              <w:lang w:val="en-US"/>
                            </w:rPr>
                            <w:t>fiontuav.com/en</w:t>
                          </w:r>
                        </w:p>
                      </w:txbxContent>
                    </wps:txbx>
                    <wps:bodyPr vert="horz" anchor="t" upright="1"/>
                  </wps:wsp>
                </a:graphicData>
              </a:graphic>
            </wp:anchor>
          </w:drawing>
        </mc:Choice>
        <mc:Fallback>
          <w:pict>
            <v:shape id="文本框 25" o:spid="_x0000_s1026" o:spt="202" type="#_x0000_t202" style="position:absolute;left:0pt;margin-left:359.3pt;margin-top:4.2pt;height:24.65pt;width:101.2pt;z-index:251668480;mso-width-relative:page;mso-height-relative:page;" fillcolor="#FFFFFF" filled="t" stroked="t" coordsize="21600,21600" o:gfxdata="UEsDBAoAAAAAAIdO4kAAAAAAAAAAAAAAAAAEAAAAZHJzL1BLAwQUAAAACACHTuJA742lX9cAAAAI&#10;AQAADwAAAGRycy9kb3ducmV2LnhtbE2PwU7DMBBE70j8g7VIXBC1E0ETQpwKVSDOLVy4ufE2iYjX&#10;Sew2LV/PcqLH0Yxm3pSrk+vFEafQedKQLBQIpNrbjhoNnx9v9zmIEA1Z03tCDWcMsKqur0pTWD/T&#10;Bo/b2AguoVAYDW2MQyFlqFt0Jiz8gMTe3k/ORJZTI+1kZi53vUyVWkpnOuKF1gy4brH+3h6cBj+/&#10;np3HUaV3Xz/uff0ybvbpqPXtTaKeQUQ8xf8w/OEzOlTMtPMHskH0GrIkX3JUQ/4Agv2nNOFvOw2P&#10;WQayKuXlgeoXUEsDBBQAAAAIAIdO4kDIAtBkHAIAAFwEAAAOAAAAZHJzL2Uyb0RvYy54bWytVM2O&#10;0zAQviPxDpbvNG2XoiVquhKUckGAtPAAruMklvwn221SHgDegBMX7jxXn2M/O92yu1x6IIdk7Jn5&#10;PN834yxvBq3IXvggranobDKlRBhua2nain79snlxTUmIzNRMWSMqehCB3qyeP1v2rhRz21lVC08A&#10;YkLZu4p2MbqyKALvhGZhYp0wcDbWaxax9G1Re9YDXatiPp2+Knrra+ctFyFgdz066QnRXwJom0Zy&#10;sbZ8p4WJI6oXikVQCp10ga5ytU0jePzUNEFEoioKpjG/cQjsbXoXqyUrW89cJ/mpBHZJCU84aSYN&#10;Dj1DrVlkZOflP1Bacm+DbeKEW12MRLIiYDGbPtHmtmNOZC6QOriz6OH/wfKP+8+eyLqirykxTKPh&#10;x58/jr/+HH9/J/NF0qd3oUTYrUNgHN7YAVNzvx+wmWgPjdfpC0IEfqh7OKsrhkh4SppfL+Yv4eLw&#10;Xc2uposMX/zNdj7E98JqkoyKenQvi8r2H0JEJQi9D0mHBatkvZFK5YVvt2+VJ3uGTm/yk4pEyqMw&#10;ZUgPrgtQI5xhfBuMDUztIEEwbT7vUUa4DDgVtmahGwvICONwaRmFz2PWCVa/MzWJBweZDW4XTcVo&#10;UVOiBC5jsnJkZFJdEgl2yiT2Io/6SaXUsLExyYrDdgBoMre2PqCJuPxQt7P+GyXMcBgVhQY752Xb&#10;wZO7W6QEDF2W8HRB0lQ/XMN++FNY3Q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vjaVf1wAAAAgB&#10;AAAPAAAAAAAAAAEAIAAAACIAAABkcnMvZG93bnJldi54bWxQSwECFAAUAAAACACHTuJAyALQZBwC&#10;AABcBAAADgAAAAAAAAABACAAAAAmAQAAZHJzL2Uyb0RvYy54bWxQSwUGAAAAAAYABgBZAQAAtAUA&#10;AAAA&#10;">
              <v:fill on="t" focussize="0,0"/>
              <v:stroke color="#FFFFFF" joinstyle="miter"/>
              <v:imagedata o:title=""/>
              <o:lock v:ext="edit" aspectratio="f"/>
              <v:textbox>
                <w:txbxContent>
                  <w:p w14:paraId="0932842F">
                    <w:pPr>
                      <w:rPr>
                        <w:rFonts w:hint="eastAsia" w:ascii="微软雅黑" w:hAnsi="微软雅黑" w:eastAsia="微软雅黑" w:cs="微软雅黑"/>
                        <w:color w:val="231916"/>
                        <w:sz w:val="16"/>
                        <w:lang w:val="en-US"/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color w:val="231916"/>
                        <w:sz w:val="16"/>
                        <w:lang w:val="en-US"/>
                      </w:rPr>
                      <w:t>fiontuav.com/en</w:t>
                    </w:r>
                  </w:p>
                </w:txbxContent>
              </v:textbox>
            </v:shape>
          </w:pict>
        </mc:Fallback>
      </mc:AlternateContent>
    </w:r>
    <w: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4467860</wp:posOffset>
          </wp:positionH>
          <wp:positionV relativeFrom="paragraph">
            <wp:posOffset>117475</wp:posOffset>
          </wp:positionV>
          <wp:extent cx="149225" cy="146685"/>
          <wp:effectExtent l="0" t="0" r="3175" b="5715"/>
          <wp:wrapNone/>
          <wp:docPr id="57" name="图片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图片 17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49225" cy="14668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sz w:val="24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598805</wp:posOffset>
              </wp:positionH>
              <wp:positionV relativeFrom="paragraph">
                <wp:posOffset>49530</wp:posOffset>
              </wp:positionV>
              <wp:extent cx="1047115" cy="313055"/>
              <wp:effectExtent l="4445" t="5080" r="15240" b="5715"/>
              <wp:wrapNone/>
              <wp:docPr id="43" name="文本框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2689860" y="9500235"/>
                        <a:ext cx="1047115" cy="3130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FFFFFF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txbx>
                      <w:txbxContent>
                        <w:p w14:paraId="621240B3">
                          <w:pPr>
                            <w:rPr>
                              <w:rFonts w:hint="eastAsia" w:ascii="微软雅黑" w:hAnsi="微软雅黑" w:eastAsia="微软雅黑" w:cs="微软雅黑"/>
                              <w:color w:val="231916"/>
                              <w:sz w:val="16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231916"/>
                              <w:sz w:val="16"/>
                            </w:rPr>
                            <w:t>info@fiontu.com</w:t>
                          </w:r>
                        </w:p>
                      </w:txbxContent>
                    </wps:txbx>
                    <wps:bodyPr vert="horz" anchor="t" upright="1"/>
                  </wps:wsp>
                </a:graphicData>
              </a:graphic>
            </wp:anchor>
          </w:drawing>
        </mc:Choice>
        <mc:Fallback>
          <w:pict>
            <v:shape id="文本框 25" o:spid="_x0000_s1026" o:spt="202" type="#_x0000_t202" style="position:absolute;left:0pt;margin-left:47.15pt;margin-top:3.9pt;height:24.65pt;width:82.45pt;z-index:251663360;mso-width-relative:page;mso-height-relative:page;" fillcolor="#FFFFFF" filled="t" stroked="t" coordsize="21600,21600" o:gfxdata="UEsDBAoAAAAAAIdO4kAAAAAAAAAAAAAAAAAEAAAAZHJzL1BLAwQUAAAACACHTuJA1QD6wtYAAAAH&#10;AQAADwAAAGRycy9kb3ducmV2LnhtbE2PwU7DMBBE70j8g7VIXBC1YyilIU6FKhDnFi7c3HibRMTr&#10;JHablq9nOcFxNKOZN8Xq5DtxxDG2gQxkMwUCqQqupdrAx/vr7SOImCw52wVCA2eMsCovLwqbuzDR&#10;Bo/bVAsuoZhbA01KfS5lrBr0Ns5Cj8TePozeJpZjLd1oJy73ndRKPUhvW+KFxva4brD62h68gTC9&#10;nH3AQembz2//tn4eNns9GHN9laknEAlP6S8Mv/iMDiUz7cKBXBSdgeX9HScNLPgA23q+1CB2BuaL&#10;DGRZyP/85Q9QSwMEFAAAAAgAh07iQDzUtv4rAgAAaQQAAA4AAABkcnMvZTJvRG9jLnhtbK1UTY7T&#10;MBTeI3EHy3uapJ2WTtR0JChlgwBp4ACu85JY8p9st0k5ANyAFRv2c66eg2enM8wMmy7IInm2P39+&#10;3/ees7oZlCQHcF4YXdFiklMCmpta6LaiX79sXy0p8YHpmkmjoaJH8PRm/fLFqrclTE1nZA2OIIn2&#10;ZW8r2oVgyyzzvAPF/MRY0LjYGKdYwKFrs9qxHtmVzKZ5vsh642rrDAfvcXYzLtIzo7uE0DSN4LAx&#10;fK9Ah5HVgWQBJflOWE/XKdumAR4+NY2HQGRFUWlIbzwE4118Z+sVK1vHbCf4OQV2SQrPNCkmNB76&#10;QLVhgZG9E/9QKcGd8aYJE25UNgpJjqCKIn/mzW3HLCQtaLW3D6b7/0fLPx4+OyLqil7NKNFMYcVP&#10;P3+cft2dfn8n03k0qLe+RNytRWQY3pgB2+Z+3uNk1D00TsUvKiK4Pl0sr5cLNPlY0et5nk9niYmV&#10;MATCI0F+9boo5pRwRMyKWT5PgOwvk3U+vAejSAwq6rCUyWF2+OADZoXQe0g82Bsp6q2QMg1cu3sr&#10;HTkwLPs2PTFh3PIEJjXpY34ok3CGvdxgD2GoLPrhdZvOe7LDX0YcE9sw340JJIax05QI4FLPdcDq&#10;d7om4WjRco1XjcZkFNSUSMCbGaOEDEzIS5CoTuqoHlLfn12KxRuLFKMw7AYkjeHO1EcsKP4J0N3O&#10;uG+UMM0xqCh6sLdOtB2upEpncQN2YLLwfFtiiz8eY/z4D7H+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NUA+sLWAAAABwEAAA8AAAAAAAAAAQAgAAAAIgAAAGRycy9kb3ducmV2LnhtbFBLAQIUABQA&#10;AAAIAIdO4kA81Lb+KwIAAGkEAAAOAAAAAAAAAAEAIAAAACUBAABkcnMvZTJvRG9jLnhtbFBLBQYA&#10;AAAABgAGAFkBAADCBQAAAAA=&#10;">
              <v:fill on="t" focussize="0,0"/>
              <v:stroke color="#FFFFFF" joinstyle="miter"/>
              <v:imagedata o:title=""/>
              <o:lock v:ext="edit" aspectratio="f"/>
              <v:textbox>
                <w:txbxContent>
                  <w:p w14:paraId="621240B3">
                    <w:pPr>
                      <w:rPr>
                        <w:rFonts w:hint="eastAsia" w:ascii="微软雅黑" w:hAnsi="微软雅黑" w:eastAsia="微软雅黑" w:cs="微软雅黑"/>
                        <w:color w:val="231916"/>
                        <w:sz w:val="16"/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color w:val="231916"/>
                        <w:sz w:val="16"/>
                      </w:rPr>
                      <w:t>info@fiontu.com</w:t>
                    </w:r>
                  </w:p>
                </w:txbxContent>
              </v:textbox>
            </v:shape>
          </w:pict>
        </mc:Fallback>
      </mc:AlternateContent>
    </w: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column">
                <wp:posOffset>-481330</wp:posOffset>
              </wp:positionH>
              <wp:positionV relativeFrom="paragraph">
                <wp:posOffset>24130</wp:posOffset>
              </wp:positionV>
              <wp:extent cx="7740015" cy="635"/>
              <wp:effectExtent l="0" t="0" r="0" b="0"/>
              <wp:wrapNone/>
              <wp:docPr id="64" name="直线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40015" cy="635"/>
                      </a:xfrm>
                      <a:prstGeom prst="line">
                        <a:avLst/>
                      </a:prstGeom>
                      <a:ln w="18000" cap="flat" cmpd="sng">
                        <a:solidFill>
                          <a:srgbClr val="159E00"/>
                        </a:solidFill>
                        <a:prstDash val="solid"/>
                        <a:headEnd type="none" w="med" len="med"/>
                        <a:tailEnd type="none" w="med" len="med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直线 15" o:spid="_x0000_s1026" o:spt="20" style="position:absolute;left:0pt;margin-left:-37.9pt;margin-top:1.9pt;height:0.05pt;width:609.45pt;z-index:-251651072;mso-width-relative:page;mso-height-relative:page;" filled="f" stroked="t" coordsize="21600,21600" o:gfxdata="UEsDBAoAAAAAAIdO4kAAAAAAAAAAAAAAAAAEAAAAZHJzL1BLAwQUAAAACACHTuJApO6viNkAAAAI&#10;AQAADwAAAGRycy9kb3ducmV2LnhtbE2PQU/DMAyF70j7D5GRuKAtLWMdlKY7ANNuSAykiVvWuE21&#10;xqmabB3/ft4JTtbzs977XKzOrhMnHELrSUE6S0AgVd601Cj4/lpPn0CEqMnozhMq+MUAq3JyU+jc&#10;+JE+8bSNjeAQCrlWYGPscylDZdHpMPM9Enu1H5yOLIdGmkGPHO46+ZAkmXS6JW6wusdXi9Vhe3QK&#10;lpvM1u/3tjZm97P4yN52jR43St3dpskLiIjn+HcMV3xGh5KZ9v5IJohOwXS5YPSoYM7j6qeP8xTE&#10;nhfPIMtC/n+gvABQSwMEFAAAAAgAh07iQNMYpxTsAQAA4gMAAA4AAABkcnMvZTJvRG9jLnhtbK1T&#10;zXLTMBC+M8M7aHQndkqbFk+cHpqWCwOZAR5gI8mxZvQ3WjVOnoXX4MSFx+lrsJJNKOWSAxd7V7v7&#10;7X6fVsvbgzVsryJq71o+n9WcKSe81G7X8q9fHt7ccIYJnATjnWr5USG/Xb1+tRxCoy58741UkRGI&#10;w2YILe9TCk1VoeiVBZz5oBwFOx8tJHLjrpIRBkK3prqo60U1+ChD9EIh0ul6DPIJMZ4D6LtOC7X2&#10;4tEql0bUqAwkooS9DshXZdquUyJ96jpUiZmWE9NUvtSE7G3+VqslNLsIoddiGgHOGeEFJwvaUdMT&#10;1BoSsMeo/4GyWkSPvksz4W01EimKEIt5/UKbzz0EVbiQ1BhOouP/gxUf95vItGz54pIzB5Zu/Onb&#10;96cfP9n8KqszBGwo6c5t4uRh2MRM9dBFm/9Egh2KoseTouqQmKDD6+vLuiYgJii2eFsQqz+lIWJ6&#10;r7xl2Wi50S7ThQb2HzBRO0r9nZKPjWMDrexNXdP1CaDl6+jSybSBCKDblWL0RssHbUwuwbjb3pnI&#10;9kALML96d0+lI/BfabnLGrAf80poXI1egbx3kqVjIGUcvQieZ7BKcmYUPaBsESA0CbQ5J5M4GZcL&#10;VFnPiWiWeRQ2W1svj0XvKnt09UWKaU3zbj33yX7+NFe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KTur4jZAAAACAEAAA8AAAAAAAAAAQAgAAAAIgAAAGRycy9kb3ducmV2LnhtbFBLAQIUABQAAAAI&#10;AIdO4kDTGKcU7AEAAOIDAAAOAAAAAAAAAAEAIAAAACgBAABkcnMvZTJvRG9jLnhtbFBLBQYAAAAA&#10;BgAGAFkBAACGBQAAAAA=&#10;">
              <v:fill on="f" focussize="0,0"/>
              <v:stroke weight="1.41732283464567pt" color="#159E00" joinstyle="round"/>
              <v:imagedata o:title=""/>
              <o:lock v:ext="edit" aspectratio="f"/>
            </v:lin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5A500A">
    <w:pPr>
      <w:pStyle w:val="6"/>
      <w:jc w:val="right"/>
      <w:rPr>
        <w:rFonts w:hint="eastAsia" w:ascii="微软雅黑" w:hAnsi="微软雅黑" w:eastAsia="微软雅黑" w:cs="微软雅黑"/>
        <w:b/>
        <w:bCs/>
        <w:color w:val="75BD51"/>
        <w:sz w:val="48"/>
        <w:szCs w:val="48"/>
        <w:lang w:val="en-US"/>
      </w:rPr>
    </w:pPr>
    <w:r>
      <w:rPr>
        <w:rFonts w:hint="eastAsia" w:ascii="黑体" w:hAnsi="黑体" w:eastAsia="黑体" w:cs="黑体"/>
        <w:b/>
        <w:bCs/>
        <w:color w:val="159E00"/>
        <w:sz w:val="40"/>
        <w:szCs w:val="40"/>
        <w:lang w:val="en-US"/>
      </w:rPr>
      <w:tab/>
    </w:r>
    <w:r>
      <w:rPr>
        <w:rFonts w:hint="eastAsia" w:ascii="微软雅黑" w:hAnsi="微软雅黑" w:eastAsia="微软雅黑" w:cs="微软雅黑"/>
        <w:b/>
        <w:bCs/>
        <w:color w:val="75BD51"/>
        <w:sz w:val="36"/>
        <w:szCs w:val="36"/>
        <w:lang w:val="en-US"/>
      </w:rPr>
      <w:tab/>
    </w:r>
    <w:bookmarkStart w:id="2" w:name="产品名称"/>
    <w:bookmarkEnd w:id="2"/>
    <w:r>
      <w:rPr>
        <w:rFonts w:hint="eastAsia" w:ascii="微软雅黑" w:hAnsi="微软雅黑" w:eastAsia="微软雅黑" w:cs="微软雅黑"/>
        <w:b/>
        <w:bCs/>
        <w:color w:val="75BD51"/>
        <w:sz w:val="36"/>
        <w:szCs w:val="36"/>
        <w:lang w:val="en-US"/>
      </w:rPr>
      <w:t>One-to-four wireless tie clip</w:t>
    </w:r>
    <w:r>
      <w:rPr>
        <w:rFonts w:hint="eastAsia" w:ascii="黑体" w:hAnsi="黑体" w:eastAsia="黑体" w:cs="黑体"/>
        <w:b/>
        <w:bCs/>
        <w:color w:val="159E00"/>
        <w:sz w:val="40"/>
        <w:szCs w:val="40"/>
        <w:lang w:val="en-US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1270</wp:posOffset>
          </wp:positionH>
          <wp:positionV relativeFrom="paragraph">
            <wp:posOffset>-192405</wp:posOffset>
          </wp:positionV>
          <wp:extent cx="1750060" cy="963295"/>
          <wp:effectExtent l="0" t="0" r="0" b="0"/>
          <wp:wrapNone/>
          <wp:docPr id="1" name="图片 1" descr="FIONTU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FIONTU 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50060" cy="9632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ascii="黑体" w:hAnsi="黑体" w:eastAsia="黑体" w:cs="黑体"/>
        <w:b/>
        <w:bCs/>
        <w:color w:val="159E00"/>
        <w:sz w:val="40"/>
        <w:szCs w:val="40"/>
        <w:lang w:val="en-US"/>
      </w:rPr>
      <w:t xml:space="preserve">                               </w:t>
    </w:r>
  </w:p>
  <w:p w14:paraId="5FBD9335">
    <w:pPr>
      <w:pStyle w:val="6"/>
      <w:jc w:val="right"/>
      <w:rPr>
        <w:rFonts w:hint="eastAsia" w:ascii="微软雅黑" w:hAnsi="微软雅黑" w:eastAsia="微软雅黑" w:cs="微软雅黑"/>
        <w:b/>
        <w:bCs/>
        <w:color w:val="75BD51"/>
        <w:sz w:val="36"/>
        <w:szCs w:val="36"/>
        <w:lang w:val="en-US"/>
      </w:rPr>
    </w:pPr>
    <w:bookmarkStart w:id="3" w:name="产品型号"/>
    <w:bookmarkEnd w:id="3"/>
    <w:r>
      <w:rPr>
        <w:rFonts w:hint="eastAsia" w:ascii="微软雅黑" w:hAnsi="微软雅黑" w:eastAsia="微软雅黑" w:cs="微软雅黑"/>
        <w:b/>
        <w:bCs/>
        <w:color w:val="75BD51"/>
        <w:sz w:val="36"/>
        <w:szCs w:val="36"/>
        <w:lang w:val="en-US"/>
      </w:rPr>
      <w:t>T2-WR404-L</w:t>
    </w:r>
  </w:p>
  <w:p w14:paraId="06C53099">
    <w:pPr>
      <w:pStyle w:val="6"/>
      <w:rPr>
        <w:rFonts w:hint="eastAsia" w:ascii="黑体" w:hAnsi="黑体" w:eastAsia="黑体" w:cs="黑体"/>
        <w:b/>
        <w:bCs/>
        <w:color w:val="159E00"/>
        <w:sz w:val="32"/>
        <w:szCs w:val="32"/>
        <w:lang w:val="en-US"/>
      </w:rPr>
    </w:pPr>
    <w:r>
      <w:rPr>
        <w:sz w:val="32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15875</wp:posOffset>
              </wp:positionH>
              <wp:positionV relativeFrom="paragraph">
                <wp:posOffset>176530</wp:posOffset>
              </wp:positionV>
              <wp:extent cx="6651625" cy="635"/>
              <wp:effectExtent l="0" t="15875" r="3175" b="21590"/>
              <wp:wrapNone/>
              <wp:docPr id="15" name="直接连接符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08635" y="1005840"/>
                        <a:ext cx="6651625" cy="635"/>
                      </a:xfrm>
                      <a:prstGeom prst="line">
                        <a:avLst/>
                      </a:prstGeom>
                      <a:ln w="31750">
                        <a:gradFill>
                          <a:gsLst>
                            <a:gs pos="100000">
                              <a:srgbClr val="75BD51"/>
                            </a:gs>
                            <a:gs pos="100000">
                              <a:schemeClr val="accent1"/>
                            </a:gs>
                          </a:gsLst>
                        </a:gradFill>
                      </a:ln>
                    </wps:spPr>
                    <wps:style>
                      <a:lnRef idx="0">
                        <a:srgbClr val="FFFFFF"/>
                      </a:lnRef>
                      <a:fillRef idx="0">
                        <a:srgbClr val="FFFFFF"/>
                      </a:fillRef>
                      <a:effectRef idx="0">
                        <a:srgbClr val="FFFFFF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1.25pt;margin-top:13.9pt;height:0.05pt;width:523.75pt;z-index:251666432;mso-width-relative:page;mso-height-relative:page;" filled="f" stroked="t" coordsize="21600,21600" o:gfxdata="UEsDBAoAAAAAAIdO4kAAAAAAAAAAAAAAAAAEAAAAZHJzL1BLAwQUAAAACACHTuJA/LcC/NUAAAAI&#10;AQAADwAAAGRycy9kb3ducmV2LnhtbE2PQWvDMAyF74P9B6PCbqvdQrMtjVNY2XYsNB3s6sZqEhrL&#10;IXaT9N9POW0nIb3H0/uy3eRaMWAfGk8aVksFAqn0tqFKw/fp8/kVRIiGrGk9oYY7Btjljw+ZSa0f&#10;6YhDESvBIRRSo6GOsUulDGWNzoSl75BYu/jemchrX0nbm5HDXSvXSiXSmYb4Q2063NdYXoub0/Dx&#10;NXaHw9BckutUqJ/E7o/v/V3rp8VKbUFEnOKfGeb6XB1y7nT2N7JBtBrWGzbyeGGAWVYbxWzn+fIG&#10;Ms/kf4D8F1BLAwQUAAAACACHTuJAaJcbXOgBAADOAwAADgAAAGRycy9lMm9Eb2MueG1srVNLbtsw&#10;EN0X6B0I7mtJTuQYguUAieBuitZA2wPQFCUR4A8cxrIv0QsU6K5dddl9b5P0GB1KygfJxot4Qc/3&#10;cd7jaHV50IrshQdpTUmzWUqJMNzW0rQl/fpl825JCQRmaqasESU9CqCX67dvVr0rxNx2VtXCEwQx&#10;UPSupF0IrkgS4J3QDGbWCYPJxnrNArq+TWrPekTXKpmn6SLpra+dt1wAYLQak3RC9KcA2qaRXFSW&#10;32hhwojqhWIBKUEnHdD1MG3TCB4+NQ2IQFRJkWkYTrwE7V08k/WKFa1nrpN8GoGdMsIzTppJg5c+&#10;QFUsMHLj5QsoLbm3YJsw41YnI5FBEWSRpc+0+dwxJwYuKDW4B9Hh9WD5x/3WE1njJuSUGKbxxe++&#10;/7n99vPf3x943v3+RTCDMvUOCqy+Nls/eeC2PnI+NF7Hf2RDDiXN0+XiDMGOiJmm+fJ8UlkcAuGY&#10;XyzybDHHAo4VsRLhkkcU5yG8F1aTaJRUSRMlYAXbf4Awlt6XxLCxG6kUxlmhDOlLepZd5On9W9Qx&#10;GXMtYPdoEGdRQBwNf0Md+HZ3rTzZM1ySi/yqyrNpphZOaTnfLLOr6kkLspnui5Zn0xToKINco5Kj&#10;dtHa2fo4SDrE8ZkHNaaVjHv01B+6Hz/D9X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D8twL81QAA&#10;AAgBAAAPAAAAAAAAAAEAIAAAACIAAABkcnMvZG93bnJldi54bWxQSwECFAAUAAAACACHTuJAaJcb&#10;XOgBAADOAwAADgAAAAAAAAABACAAAAAkAQAAZHJzL2Uyb0RvYy54bWxQSwUGAAAAAAYABgBZAQAA&#10;fgUAAAAA&#10;">
              <v:fill on="f" focussize="0,0"/>
              <v:stroke weight="2.5pt" color="#000000" joinstyle="round"/>
              <v:imagedata o:title=""/>
              <o:lock v:ext="edit" aspectratio="f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2"/>
  <w:displayBackgroundShape w:val="1"/>
  <w:documentProtection w:enforcement="0"/>
  <w:defaultTabStop w:val="720"/>
  <w:drawingGridHorizontalSpacing w:val="110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E5OTk4NGM1ZGE1OTFhNjE1MTI0ZTg2NzI1NmEzODcifQ=="/>
  </w:docVars>
  <w:rsids>
    <w:rsidRoot w:val="00C918F9"/>
    <w:rsid w:val="00002EC4"/>
    <w:rsid w:val="0002561D"/>
    <w:rsid w:val="00032CA2"/>
    <w:rsid w:val="0005600B"/>
    <w:rsid w:val="0006518D"/>
    <w:rsid w:val="000969C5"/>
    <w:rsid w:val="000B6EC5"/>
    <w:rsid w:val="000C7EBF"/>
    <w:rsid w:val="00111EA3"/>
    <w:rsid w:val="00143742"/>
    <w:rsid w:val="00146F29"/>
    <w:rsid w:val="00151445"/>
    <w:rsid w:val="00174D82"/>
    <w:rsid w:val="001B47A8"/>
    <w:rsid w:val="001B6D70"/>
    <w:rsid w:val="001C0497"/>
    <w:rsid w:val="001C1563"/>
    <w:rsid w:val="001D6ECB"/>
    <w:rsid w:val="00205E29"/>
    <w:rsid w:val="0021465A"/>
    <w:rsid w:val="00266C12"/>
    <w:rsid w:val="00281005"/>
    <w:rsid w:val="0029532E"/>
    <w:rsid w:val="002C2BBE"/>
    <w:rsid w:val="002C5C62"/>
    <w:rsid w:val="002F42CB"/>
    <w:rsid w:val="002F5CB1"/>
    <w:rsid w:val="003204B0"/>
    <w:rsid w:val="0034485C"/>
    <w:rsid w:val="003519CF"/>
    <w:rsid w:val="00352266"/>
    <w:rsid w:val="00352488"/>
    <w:rsid w:val="003628C9"/>
    <w:rsid w:val="00375217"/>
    <w:rsid w:val="00385BBD"/>
    <w:rsid w:val="003933C7"/>
    <w:rsid w:val="003A189A"/>
    <w:rsid w:val="003A3CDF"/>
    <w:rsid w:val="003F24A9"/>
    <w:rsid w:val="00403ED2"/>
    <w:rsid w:val="00413CED"/>
    <w:rsid w:val="00420B3F"/>
    <w:rsid w:val="0042331F"/>
    <w:rsid w:val="00434DFC"/>
    <w:rsid w:val="00450107"/>
    <w:rsid w:val="004722F2"/>
    <w:rsid w:val="00492CB0"/>
    <w:rsid w:val="004B6F84"/>
    <w:rsid w:val="004C5604"/>
    <w:rsid w:val="004D250B"/>
    <w:rsid w:val="004D5591"/>
    <w:rsid w:val="004F3094"/>
    <w:rsid w:val="005017DC"/>
    <w:rsid w:val="005062FF"/>
    <w:rsid w:val="005117F1"/>
    <w:rsid w:val="00515252"/>
    <w:rsid w:val="00530E85"/>
    <w:rsid w:val="00534698"/>
    <w:rsid w:val="0055357B"/>
    <w:rsid w:val="005546D6"/>
    <w:rsid w:val="00574379"/>
    <w:rsid w:val="005842CA"/>
    <w:rsid w:val="005B72DA"/>
    <w:rsid w:val="005B7E8F"/>
    <w:rsid w:val="00611060"/>
    <w:rsid w:val="00616A79"/>
    <w:rsid w:val="006267D6"/>
    <w:rsid w:val="006536AE"/>
    <w:rsid w:val="006573BC"/>
    <w:rsid w:val="00657C99"/>
    <w:rsid w:val="00664C25"/>
    <w:rsid w:val="006A487C"/>
    <w:rsid w:val="006D6985"/>
    <w:rsid w:val="006E125A"/>
    <w:rsid w:val="006F5EB0"/>
    <w:rsid w:val="00703B29"/>
    <w:rsid w:val="00723D2F"/>
    <w:rsid w:val="007273B9"/>
    <w:rsid w:val="00732463"/>
    <w:rsid w:val="00733135"/>
    <w:rsid w:val="00741584"/>
    <w:rsid w:val="00742099"/>
    <w:rsid w:val="007506E5"/>
    <w:rsid w:val="00766541"/>
    <w:rsid w:val="00766ABB"/>
    <w:rsid w:val="00792A98"/>
    <w:rsid w:val="007B1711"/>
    <w:rsid w:val="007B2347"/>
    <w:rsid w:val="007B50D4"/>
    <w:rsid w:val="007C0260"/>
    <w:rsid w:val="00810A25"/>
    <w:rsid w:val="00817F84"/>
    <w:rsid w:val="0082195A"/>
    <w:rsid w:val="00827B5F"/>
    <w:rsid w:val="00831247"/>
    <w:rsid w:val="00831367"/>
    <w:rsid w:val="00834440"/>
    <w:rsid w:val="00846BAA"/>
    <w:rsid w:val="0085080D"/>
    <w:rsid w:val="0085147D"/>
    <w:rsid w:val="00860335"/>
    <w:rsid w:val="00864B24"/>
    <w:rsid w:val="00874424"/>
    <w:rsid w:val="008A065C"/>
    <w:rsid w:val="008C0DEE"/>
    <w:rsid w:val="009115A4"/>
    <w:rsid w:val="00927552"/>
    <w:rsid w:val="0093159B"/>
    <w:rsid w:val="00962889"/>
    <w:rsid w:val="009765FE"/>
    <w:rsid w:val="00996AE9"/>
    <w:rsid w:val="009A5B71"/>
    <w:rsid w:val="009A64CE"/>
    <w:rsid w:val="009B1A8A"/>
    <w:rsid w:val="009B4351"/>
    <w:rsid w:val="009C68F6"/>
    <w:rsid w:val="009E2730"/>
    <w:rsid w:val="009F38E3"/>
    <w:rsid w:val="009F481D"/>
    <w:rsid w:val="00A1618E"/>
    <w:rsid w:val="00A407B4"/>
    <w:rsid w:val="00A558B4"/>
    <w:rsid w:val="00A80059"/>
    <w:rsid w:val="00AA2EEE"/>
    <w:rsid w:val="00AB7302"/>
    <w:rsid w:val="00AD646A"/>
    <w:rsid w:val="00B06DE9"/>
    <w:rsid w:val="00B120C5"/>
    <w:rsid w:val="00B373FF"/>
    <w:rsid w:val="00B50E4D"/>
    <w:rsid w:val="00B82DA9"/>
    <w:rsid w:val="00B859F7"/>
    <w:rsid w:val="00B91A04"/>
    <w:rsid w:val="00B9793B"/>
    <w:rsid w:val="00BA44FF"/>
    <w:rsid w:val="00BA4E85"/>
    <w:rsid w:val="00BB2A07"/>
    <w:rsid w:val="00BC3D3A"/>
    <w:rsid w:val="00BC6BE4"/>
    <w:rsid w:val="00BC6E5B"/>
    <w:rsid w:val="00BE1824"/>
    <w:rsid w:val="00C03262"/>
    <w:rsid w:val="00C2285E"/>
    <w:rsid w:val="00C257C6"/>
    <w:rsid w:val="00C34E30"/>
    <w:rsid w:val="00C3582E"/>
    <w:rsid w:val="00C4068D"/>
    <w:rsid w:val="00C547C7"/>
    <w:rsid w:val="00C63BE2"/>
    <w:rsid w:val="00C72B9E"/>
    <w:rsid w:val="00C75B3A"/>
    <w:rsid w:val="00C85BD1"/>
    <w:rsid w:val="00C918F9"/>
    <w:rsid w:val="00CA4344"/>
    <w:rsid w:val="00CA6B6E"/>
    <w:rsid w:val="00CB150F"/>
    <w:rsid w:val="00CC1F12"/>
    <w:rsid w:val="00CC648D"/>
    <w:rsid w:val="00CD68B7"/>
    <w:rsid w:val="00D14768"/>
    <w:rsid w:val="00D22A1D"/>
    <w:rsid w:val="00D269CF"/>
    <w:rsid w:val="00D27ED3"/>
    <w:rsid w:val="00D47897"/>
    <w:rsid w:val="00D54828"/>
    <w:rsid w:val="00D6449A"/>
    <w:rsid w:val="00D82D50"/>
    <w:rsid w:val="00D830B8"/>
    <w:rsid w:val="00D92F47"/>
    <w:rsid w:val="00D93C1E"/>
    <w:rsid w:val="00D97598"/>
    <w:rsid w:val="00D9789C"/>
    <w:rsid w:val="00DA1B79"/>
    <w:rsid w:val="00DA6BE9"/>
    <w:rsid w:val="00DC0976"/>
    <w:rsid w:val="00DC4798"/>
    <w:rsid w:val="00DD0A02"/>
    <w:rsid w:val="00DE309E"/>
    <w:rsid w:val="00DE41EB"/>
    <w:rsid w:val="00E165E6"/>
    <w:rsid w:val="00E34D74"/>
    <w:rsid w:val="00E936DC"/>
    <w:rsid w:val="00EA2E36"/>
    <w:rsid w:val="00EB30B1"/>
    <w:rsid w:val="00EC7E5D"/>
    <w:rsid w:val="00ED2099"/>
    <w:rsid w:val="00ED37D2"/>
    <w:rsid w:val="00ED4822"/>
    <w:rsid w:val="00EE28B1"/>
    <w:rsid w:val="00EF092B"/>
    <w:rsid w:val="00EF0DF7"/>
    <w:rsid w:val="00F0748B"/>
    <w:rsid w:val="00F14F37"/>
    <w:rsid w:val="00F231E7"/>
    <w:rsid w:val="00F26003"/>
    <w:rsid w:val="00F44FE3"/>
    <w:rsid w:val="00FA290F"/>
    <w:rsid w:val="00FA50AE"/>
    <w:rsid w:val="00FB1D28"/>
    <w:rsid w:val="00FC1B01"/>
    <w:rsid w:val="00FE0598"/>
    <w:rsid w:val="00FF6CD2"/>
    <w:rsid w:val="00FF7695"/>
    <w:rsid w:val="08BA0019"/>
    <w:rsid w:val="0D6A111F"/>
    <w:rsid w:val="139D3B88"/>
    <w:rsid w:val="15C2079D"/>
    <w:rsid w:val="1947551E"/>
    <w:rsid w:val="1A990D9C"/>
    <w:rsid w:val="1DD03176"/>
    <w:rsid w:val="28B430AA"/>
    <w:rsid w:val="29DE17A0"/>
    <w:rsid w:val="305522E9"/>
    <w:rsid w:val="30D3203B"/>
    <w:rsid w:val="3834566E"/>
    <w:rsid w:val="3A466CD2"/>
    <w:rsid w:val="3B094399"/>
    <w:rsid w:val="3CAF4A83"/>
    <w:rsid w:val="3D937160"/>
    <w:rsid w:val="44436DB1"/>
    <w:rsid w:val="45075FE3"/>
    <w:rsid w:val="46602846"/>
    <w:rsid w:val="4666476B"/>
    <w:rsid w:val="47176886"/>
    <w:rsid w:val="47361909"/>
    <w:rsid w:val="478D0810"/>
    <w:rsid w:val="488E41FF"/>
    <w:rsid w:val="4A037E59"/>
    <w:rsid w:val="4A9C1DB2"/>
    <w:rsid w:val="5182097B"/>
    <w:rsid w:val="51E218CE"/>
    <w:rsid w:val="56E15EF5"/>
    <w:rsid w:val="57BD0ACF"/>
    <w:rsid w:val="58C65965"/>
    <w:rsid w:val="596C5D2E"/>
    <w:rsid w:val="5DB83693"/>
    <w:rsid w:val="5E2041BF"/>
    <w:rsid w:val="65AE2358"/>
    <w:rsid w:val="6F4921E3"/>
    <w:rsid w:val="700A09D7"/>
    <w:rsid w:val="776B173C"/>
    <w:rsid w:val="77DF67AF"/>
    <w:rsid w:val="7BFF23CE"/>
    <w:rsid w:val="7D965FD4"/>
    <w:rsid w:val="7FFD756E"/>
    <w:rsid w:val="F3BE8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qFormat="1" w:unhideWhenUsed="0" w:uiPriority="1" w:semiHidden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1"/>
    <w:pPr>
      <w:widowControl w:val="0"/>
      <w:autoSpaceDE w:val="0"/>
      <w:autoSpaceDN w:val="0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autoRedefine/>
    <w:qFormat/>
    <w:uiPriority w:val="1"/>
    <w:pPr>
      <w:ind w:left="106"/>
      <w:outlineLvl w:val="0"/>
    </w:pPr>
    <w:rPr>
      <w:b/>
      <w:bCs/>
      <w:sz w:val="21"/>
      <w:szCs w:val="21"/>
      <w:lang w:val="en-US" w:eastAsia="en-US" w:bidi="en-US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autoRedefine/>
    <w:qFormat/>
    <w:uiPriority w:val="1"/>
    <w:rPr>
      <w:sz w:val="16"/>
      <w:szCs w:val="16"/>
    </w:rPr>
  </w:style>
  <w:style w:type="paragraph" w:styleId="4">
    <w:name w:val="Balloon Text"/>
    <w:basedOn w:val="1"/>
    <w:link w:val="16"/>
    <w:autoRedefine/>
    <w:qFormat/>
    <w:uiPriority w:val="0"/>
    <w:rPr>
      <w:sz w:val="18"/>
      <w:szCs w:val="18"/>
    </w:rPr>
  </w:style>
  <w:style w:type="paragraph" w:styleId="5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jc w:val="both"/>
    </w:pPr>
    <w:rPr>
      <w:sz w:val="18"/>
    </w:rPr>
  </w:style>
  <w:style w:type="table" w:styleId="8">
    <w:name w:val="Table Grid"/>
    <w:basedOn w:val="7"/>
    <w:autoRedefine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Hyperlink"/>
    <w:autoRedefine/>
    <w:qFormat/>
    <w:uiPriority w:val="0"/>
    <w:rPr>
      <w:color w:val="0000FF"/>
      <w:u w:val="single"/>
    </w:rPr>
  </w:style>
  <w:style w:type="table" w:customStyle="1" w:styleId="11">
    <w:name w:val="Table Normal"/>
    <w:autoRedefine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autoRedefine/>
    <w:qFormat/>
    <w:uiPriority w:val="34"/>
    <w:pPr>
      <w:spacing w:before="103"/>
      <w:ind w:left="853" w:hanging="359"/>
    </w:pPr>
  </w:style>
  <w:style w:type="paragraph" w:customStyle="1" w:styleId="13">
    <w:name w:val="Table Paragraph"/>
    <w:basedOn w:val="1"/>
    <w:autoRedefine/>
    <w:qFormat/>
    <w:uiPriority w:val="1"/>
    <w:pPr>
      <w:spacing w:before="95"/>
      <w:ind w:left="1844" w:right="1033"/>
      <w:jc w:val="center"/>
    </w:pPr>
    <w:rPr>
      <w:rFonts w:ascii="黑体" w:hAnsi="黑体" w:eastAsia="黑体" w:cs="黑体"/>
    </w:rPr>
  </w:style>
  <w:style w:type="paragraph" w:customStyle="1" w:styleId="14">
    <w:name w:val="列出段落11"/>
    <w:basedOn w:val="1"/>
    <w:autoRedefine/>
    <w:qFormat/>
    <w:uiPriority w:val="0"/>
    <w:pPr>
      <w:ind w:firstLine="420"/>
    </w:pPr>
  </w:style>
  <w:style w:type="paragraph" w:customStyle="1" w:styleId="15">
    <w:name w:val="Other|1"/>
    <w:basedOn w:val="1"/>
    <w:autoRedefine/>
    <w:qFormat/>
    <w:uiPriority w:val="0"/>
    <w:pPr>
      <w:ind w:firstLine="160"/>
    </w:pPr>
    <w:rPr>
      <w:sz w:val="11"/>
      <w:szCs w:val="11"/>
      <w:lang w:val="zh-TW" w:eastAsia="zh-TW" w:bidi="zh-TW"/>
    </w:rPr>
  </w:style>
  <w:style w:type="character" w:customStyle="1" w:styleId="16">
    <w:name w:val="批注框文本 字符"/>
    <w:basedOn w:val="9"/>
    <w:link w:val="4"/>
    <w:autoRedefine/>
    <w:qFormat/>
    <w:uiPriority w:val="0"/>
    <w:rPr>
      <w:rFonts w:ascii="宋体" w:hAnsi="宋体" w:cs="宋体"/>
      <w:sz w:val="18"/>
      <w:szCs w:val="18"/>
      <w:lang w:val="zh-CN" w:bidi="zh-CN"/>
    </w:rPr>
  </w:style>
  <w:style w:type="paragraph" w:customStyle="1" w:styleId="17">
    <w:name w:val="_Style 16"/>
    <w:basedOn w:val="1"/>
    <w:next w:val="12"/>
    <w:link w:val="18"/>
    <w:autoRedefine/>
    <w:qFormat/>
    <w:uiPriority w:val="34"/>
    <w:pPr>
      <w:autoSpaceDE/>
      <w:autoSpaceDN/>
      <w:ind w:firstLine="420" w:firstLineChars="200"/>
      <w:jc w:val="both"/>
    </w:pPr>
    <w:rPr>
      <w:rFonts w:ascii="Calibri" w:hAnsi="Calibri" w:cs="Times New Roman"/>
      <w:kern w:val="2"/>
      <w:sz w:val="21"/>
      <w:lang w:val="en-US" w:bidi="ar-SA"/>
    </w:rPr>
  </w:style>
  <w:style w:type="character" w:customStyle="1" w:styleId="18">
    <w:name w:val="列表段落 字符"/>
    <w:link w:val="17"/>
    <w:autoRedefine/>
    <w:qFormat/>
    <w:uiPriority w:val="34"/>
    <w:rPr>
      <w:kern w:val="2"/>
      <w:sz w:val="21"/>
      <w:szCs w:val="22"/>
    </w:rPr>
  </w:style>
  <w:style w:type="paragraph" w:customStyle="1" w:styleId="19">
    <w:name w:val="_Style 18"/>
    <w:basedOn w:val="1"/>
    <w:next w:val="12"/>
    <w:autoRedefine/>
    <w:qFormat/>
    <w:uiPriority w:val="34"/>
    <w:pPr>
      <w:autoSpaceDE/>
      <w:autoSpaceDN/>
      <w:ind w:firstLine="420" w:firstLineChars="200"/>
      <w:jc w:val="both"/>
    </w:pPr>
    <w:rPr>
      <w:rFonts w:ascii="Calibri" w:hAnsi="Calibri" w:cs="Times New Roman"/>
      <w:kern w:val="2"/>
      <w:sz w:val="21"/>
      <w:lang w:val="en-US" w:bidi="ar-SA"/>
    </w:rPr>
  </w:style>
  <w:style w:type="character" w:customStyle="1" w:styleId="20">
    <w:name w:val="font11"/>
    <w:basedOn w:val="9"/>
    <w:autoRedefine/>
    <w:qFormat/>
    <w:uiPriority w:val="0"/>
    <w:rPr>
      <w:rFonts w:hint="default" w:ascii="Calibri" w:hAnsi="Calibri" w:cs="Calibri"/>
      <w:color w:val="000000"/>
      <w:sz w:val="21"/>
      <w:szCs w:val="21"/>
      <w:u w:val="none"/>
    </w:rPr>
  </w:style>
  <w:style w:type="character" w:customStyle="1" w:styleId="21">
    <w:name w:val="font21"/>
    <w:basedOn w:val="9"/>
    <w:autoRedefine/>
    <w:qFormat/>
    <w:uiPriority w:val="0"/>
    <w:rPr>
      <w:rFonts w:hint="eastAsia" w:ascii="宋体" w:hAnsi="宋体" w:eastAsia="宋体" w:cs="宋体"/>
      <w:color w:val="000000"/>
      <w:sz w:val="21"/>
      <w:szCs w:val="21"/>
      <w:u w:val="non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5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131</Words>
  <Characters>857</Characters>
  <Lines>7</Lines>
  <Paragraphs>2</Paragraphs>
  <TotalTime>0</TotalTime>
  <ScaleCrop>false</ScaleCrop>
  <LinksUpToDate>false</LinksUpToDate>
  <CharactersWithSpaces>950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2020-10-15T03:06:00Z</dcterms:created>
  <dc:creator>sunnu</dc:creator>
  <cp:lastModifiedBy>要做欧皇</cp:lastModifiedBy>
  <cp:lastPrinted>2024-05-09T06:59:00Z</cp:lastPrinted>
  <dcterms:modified xsi:type="dcterms:W3CDTF">2025-02-13T09:17:37Z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2020-10-14T00:00:00Z</vt:filetime>
  </property>
  <property fmtid="{D5CDD505-2E9C-101B-9397-08002B2CF9AE}" pid="3" name="Creator">
    <vt:lpwstr>WPS 文字</vt:lpwstr>
  </property>
  <property fmtid="{D5CDD505-2E9C-101B-9397-08002B2CF9AE}" pid="4" name="LastSaved">
    <vt:filetime>2020-10-14T00:00:00Z</vt:filetime>
  </property>
  <property fmtid="{D5CDD505-2E9C-101B-9397-08002B2CF9AE}" pid="5" name="KSOProductBuildVer">
    <vt:lpwstr>2052-12.1.0.19770</vt:lpwstr>
  </property>
  <property fmtid="{D5CDD505-2E9C-101B-9397-08002B2CF9AE}" pid="6" name="ICV">
    <vt:lpwstr>57EEEA62DB3B4E3C86C4E62B5919C292_13</vt:lpwstr>
  </property>
  <property fmtid="{D5CDD505-2E9C-101B-9397-08002B2CF9AE}" pid="7" name="KSOTemplateDocerSaveRecord">
    <vt:lpwstr>eyJoZGlkIjoiZjE5OTk4NGM1ZGE1OTFhNjE1MTI0ZTg2NzI1NmEzODciLCJ1c2VySWQiOiI0MDg1Njg0MjcifQ==</vt:lpwstr>
  </property>
</Properties>
</file>